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6433" w14:textId="77777777" w:rsidR="00625E07" w:rsidRPr="008C170C" w:rsidRDefault="00132504" w:rsidP="003472A7">
      <w:pPr>
        <w:rPr>
          <w:color w:val="5C6670"/>
        </w:rPr>
      </w:pPr>
      <w:r w:rsidRPr="00132504">
        <w:rPr>
          <w:noProof/>
        </w:rPr>
        <w:drawing>
          <wp:anchor distT="0" distB="0" distL="114300" distR="114300" simplePos="0" relativeHeight="251650048" behindDoc="1" locked="1" layoutInCell="0" allowOverlap="1" wp14:anchorId="34449BED" wp14:editId="471EA991">
            <wp:simplePos x="0" y="0"/>
            <wp:positionH relativeFrom="column">
              <wp:posOffset>-574675</wp:posOffset>
            </wp:positionH>
            <wp:positionV relativeFrom="page">
              <wp:posOffset>13335</wp:posOffset>
            </wp:positionV>
            <wp:extent cx="7772400" cy="1700530"/>
            <wp:effectExtent l="0" t="0" r="0" b="127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alphaModFix amt="30000"/>
                      <a:extLst>
                        <a:ext uri="{28A0092B-C50C-407E-A947-70E740481C1C}">
                          <a14:useLocalDpi xmlns:a14="http://schemas.microsoft.com/office/drawing/2010/main" val="0"/>
                        </a:ext>
                      </a:extLst>
                    </a:blip>
                    <a:stretch>
                      <a:fillRect/>
                    </a:stretch>
                  </pic:blipFill>
                  <pic:spPr>
                    <a:xfrm>
                      <a:off x="0" y="0"/>
                      <a:ext cx="7772400" cy="1700530"/>
                    </a:xfrm>
                    <a:prstGeom prst="rect">
                      <a:avLst/>
                    </a:prstGeom>
                  </pic:spPr>
                </pic:pic>
              </a:graphicData>
            </a:graphic>
            <wp14:sizeRelH relativeFrom="margin">
              <wp14:pctWidth>0</wp14:pctWidth>
            </wp14:sizeRelH>
            <wp14:sizeRelV relativeFrom="margin">
              <wp14:pctHeight>0</wp14:pctHeight>
            </wp14:sizeRelV>
          </wp:anchor>
        </w:drawing>
      </w:r>
    </w:p>
    <w:p w14:paraId="4000BDC3" w14:textId="77777777" w:rsidR="00625E07" w:rsidRPr="008C170C" w:rsidRDefault="00625E07" w:rsidP="003472A7"/>
    <w:p w14:paraId="777CB562" w14:textId="77777777" w:rsidR="00625E07" w:rsidRPr="008C170C" w:rsidRDefault="00625E07" w:rsidP="003472A7">
      <w:r w:rsidRPr="008C170C">
        <w:rPr>
          <w:noProof/>
        </w:rPr>
        <w:drawing>
          <wp:inline distT="0" distB="0" distL="0" distR="0" wp14:anchorId="7E5BEAAD" wp14:editId="2FAC62E2">
            <wp:extent cx="2984500" cy="570865"/>
            <wp:effectExtent l="0" t="0" r="0" b="635"/>
            <wp:docPr id="1" name="Picture 1"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orado Department of Higher Education Logo"/>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0" cy="570865"/>
                    </a:xfrm>
                    <a:prstGeom prst="rect">
                      <a:avLst/>
                    </a:prstGeom>
                    <a:ln>
                      <a:noFill/>
                    </a:ln>
                    <a:extLst>
                      <a:ext uri="{53640926-AAD7-44D8-BBD7-CCE9431645EC}">
                        <a14:shadowObscured xmlns:a14="http://schemas.microsoft.com/office/drawing/2010/main"/>
                      </a:ext>
                    </a:extLst>
                  </pic:spPr>
                </pic:pic>
              </a:graphicData>
            </a:graphic>
          </wp:inline>
        </w:drawing>
      </w:r>
    </w:p>
    <w:p w14:paraId="06475EC0" w14:textId="77777777" w:rsidR="00532E11" w:rsidRDefault="00532E11" w:rsidP="00532E11"/>
    <w:p w14:paraId="7B0A9FD2" w14:textId="6C347FDB" w:rsidR="002B68D8" w:rsidRPr="00F928C0" w:rsidRDefault="00B71B9E" w:rsidP="003472A7">
      <w:pPr>
        <w:pStyle w:val="Heading1"/>
        <w:spacing w:line="360" w:lineRule="auto"/>
      </w:pPr>
      <w:r>
        <w:t>General Education Council Report for SB24-164</w:t>
      </w:r>
    </w:p>
    <w:p w14:paraId="61A244B5" w14:textId="3B42C5BB" w:rsidR="00F536AB" w:rsidRDefault="00B71B9E" w:rsidP="003472A7">
      <w:pPr>
        <w:contextualSpacing/>
      </w:pPr>
      <w:r>
        <w:t>Submitted by the Colorado General Education Council</w:t>
      </w:r>
    </w:p>
    <w:p w14:paraId="58150C70" w14:textId="6DFE1284" w:rsidR="00B71B9E" w:rsidRDefault="00B71B9E" w:rsidP="003472A7">
      <w:pPr>
        <w:contextualSpacing/>
      </w:pPr>
      <w:r>
        <w:t>Date:</w:t>
      </w:r>
      <w:r w:rsidR="06585CE2">
        <w:t xml:space="preserve"> September 4, 2025</w:t>
      </w:r>
      <w:r w:rsidR="00213A08">
        <w:t>; Revised November 10, 2025</w:t>
      </w:r>
    </w:p>
    <w:p w14:paraId="0C9CBE81" w14:textId="3E221361" w:rsidR="00B71B9E" w:rsidRPr="00CD5FA6" w:rsidRDefault="00B71B9E" w:rsidP="00B71B9E">
      <w:pPr>
        <w:pStyle w:val="Heading2"/>
      </w:pPr>
      <w:r>
        <w:t>Summary</w:t>
      </w:r>
    </w:p>
    <w:p w14:paraId="0B71E36A" w14:textId="683A452C" w:rsidR="00B71B9E" w:rsidRDefault="00B71B9E" w:rsidP="003472A7">
      <w:pPr>
        <w:contextualSpacing/>
      </w:pPr>
      <w:r>
        <w:t>Pursuant to SB24-</w:t>
      </w:r>
      <w:proofErr w:type="gramStart"/>
      <w:r>
        <w:t>164 ((</w:t>
      </w:r>
      <w:proofErr w:type="gramEnd"/>
      <w:r>
        <w:t>C.R.S. 23-1-108.5(</w:t>
      </w:r>
      <w:proofErr w:type="gramStart"/>
      <w:r>
        <w:t>3)(</w:t>
      </w:r>
      <w:proofErr w:type="gramEnd"/>
      <w:r>
        <w:t>b.</w:t>
      </w:r>
      <w:proofErr w:type="gramStart"/>
      <w:r>
        <w:t>5))</w:t>
      </w:r>
      <w:proofErr w:type="gramEnd"/>
      <w:r>
        <w:t>, the General Education (GE) Council presents its initial findings on Guaranteed Transfer (GT) Pathways course activity. This report identifies courses with:</w:t>
      </w:r>
    </w:p>
    <w:p w14:paraId="1061B4AE" w14:textId="69C7EFAC" w:rsidR="00B71B9E" w:rsidRDefault="00B71B9E" w:rsidP="00B71B9E">
      <w:pPr>
        <w:pStyle w:val="ListParagraph"/>
        <w:numPr>
          <w:ilvl w:val="0"/>
          <w:numId w:val="4"/>
        </w:numPr>
      </w:pPr>
      <w:r>
        <w:t>The highest enrollment and transfer activity,</w:t>
      </w:r>
    </w:p>
    <w:p w14:paraId="2D84809E" w14:textId="6F49CBA8" w:rsidR="00B71B9E" w:rsidRDefault="00B71B9E" w:rsidP="00B71B9E">
      <w:pPr>
        <w:pStyle w:val="ListParagraph"/>
        <w:numPr>
          <w:ilvl w:val="0"/>
          <w:numId w:val="4"/>
        </w:numPr>
      </w:pPr>
      <w:r>
        <w:t>Courses commonly not applied toward program requirements despite full credit transfer,</w:t>
      </w:r>
    </w:p>
    <w:p w14:paraId="726637A5" w14:textId="3E2EF472" w:rsidR="00B71B9E" w:rsidRDefault="00B71B9E" w:rsidP="00B71B9E">
      <w:pPr>
        <w:pStyle w:val="ListParagraph"/>
        <w:numPr>
          <w:ilvl w:val="0"/>
          <w:numId w:val="4"/>
        </w:numPr>
      </w:pPr>
      <w:r>
        <w:t>And courses exhibiting credit hour misalignment across institutions.</w:t>
      </w:r>
    </w:p>
    <w:p w14:paraId="6C78388E" w14:textId="71775FF7" w:rsidR="00B71B9E" w:rsidRPr="00385275" w:rsidRDefault="00B71B9E" w:rsidP="00B71B9E">
      <w:r>
        <w:t xml:space="preserve">This report is submitted to the Commission for review and to inform future adjustments to academic policy and the GT Pathways matrix as appropriate. </w:t>
      </w:r>
    </w:p>
    <w:p w14:paraId="2932B2B1" w14:textId="77777777" w:rsidR="00625E07" w:rsidRPr="008C170C" w:rsidRDefault="00625E07" w:rsidP="003472A7">
      <w:pPr>
        <w:pBdr>
          <w:bottom w:val="single" w:sz="4" w:space="1" w:color="808080" w:themeColor="background1" w:themeShade="80"/>
        </w:pBdr>
      </w:pPr>
    </w:p>
    <w:p w14:paraId="18FDE919" w14:textId="77777777" w:rsidR="00CF25D1" w:rsidRDefault="00CF25D1" w:rsidP="003472A7"/>
    <w:p w14:paraId="5FE431C8" w14:textId="6C22AEC7" w:rsidR="009005C9" w:rsidRPr="00CD5FA6" w:rsidRDefault="00B71B9E" w:rsidP="00CD5FA6">
      <w:pPr>
        <w:pStyle w:val="Heading2"/>
      </w:pPr>
      <w:r>
        <w:t>Background</w:t>
      </w:r>
    </w:p>
    <w:p w14:paraId="18BB879E" w14:textId="77777777" w:rsidR="00B71B9E" w:rsidRDefault="00B71B9E" w:rsidP="003472A7">
      <w:r>
        <w:t>SB24-164 mandates annual review of Colorado’s GT Pathways matrix beginning October 1, 2025. The GE Council must evaluate:</w:t>
      </w:r>
    </w:p>
    <w:p w14:paraId="3FB04663" w14:textId="110A27CB" w:rsidR="00B71B9E" w:rsidRDefault="00B71B9E" w:rsidP="00B71B9E">
      <w:pPr>
        <w:pStyle w:val="ListParagraph"/>
        <w:numPr>
          <w:ilvl w:val="0"/>
          <w:numId w:val="5"/>
        </w:numPr>
      </w:pPr>
      <w:r>
        <w:t>High enrollment and transfer volume GT Pathways courses.</w:t>
      </w:r>
    </w:p>
    <w:p w14:paraId="1C56CECC" w14:textId="79EDA39F" w:rsidR="00B71B9E" w:rsidRDefault="00B71B9E" w:rsidP="00B71B9E">
      <w:pPr>
        <w:pStyle w:val="ListParagraph"/>
        <w:numPr>
          <w:ilvl w:val="0"/>
          <w:numId w:val="5"/>
        </w:numPr>
      </w:pPr>
      <w:r>
        <w:t xml:space="preserve">GT Pathways courses that are accepted in </w:t>
      </w:r>
      <w:r w:rsidR="0083122F">
        <w:t>transfer but</w:t>
      </w:r>
      <w:r>
        <w:t xml:space="preserve"> not applied toward degree programs.</w:t>
      </w:r>
    </w:p>
    <w:p w14:paraId="5056AD5B" w14:textId="1E138742" w:rsidR="00E63243" w:rsidRDefault="00B71B9E" w:rsidP="00B71B9E">
      <w:pPr>
        <w:pStyle w:val="ListParagraph"/>
        <w:numPr>
          <w:ilvl w:val="0"/>
          <w:numId w:val="5"/>
        </w:numPr>
      </w:pPr>
      <w:r>
        <w:t xml:space="preserve">Credit-hour misalignment across institutions for GT Pathways courses. </w:t>
      </w:r>
    </w:p>
    <w:p w14:paraId="284564E3" w14:textId="0B0C26D4" w:rsidR="00385275" w:rsidRDefault="00B71B9E" w:rsidP="003472A7">
      <w:r>
        <w:t>Data for this report was collected by the Colorado Department of Higher Education</w:t>
      </w:r>
      <w:r w:rsidR="002F3BA0">
        <w:t xml:space="preserve"> (CDHE)</w:t>
      </w:r>
      <w:r w:rsidR="00CA1596">
        <w:t>.</w:t>
      </w:r>
    </w:p>
    <w:p w14:paraId="093C105D" w14:textId="5D8CAA5F" w:rsidR="00385275" w:rsidRDefault="00B71B9E" w:rsidP="00CD5FA6">
      <w:pPr>
        <w:pStyle w:val="Heading2"/>
      </w:pPr>
      <w:r>
        <w:t>Analysis</w:t>
      </w:r>
    </w:p>
    <w:p w14:paraId="1F5EE162" w14:textId="7867DD91" w:rsidR="00B71B9E" w:rsidRDefault="00B71B9E" w:rsidP="00592536">
      <w:pPr>
        <w:pStyle w:val="Heading3"/>
        <w:numPr>
          <w:ilvl w:val="0"/>
          <w:numId w:val="12"/>
        </w:numPr>
      </w:pPr>
      <w:r>
        <w:t xml:space="preserve">High Enrollment and Transfer Volume </w:t>
      </w:r>
      <w:r w:rsidR="00CA1596">
        <w:t xml:space="preserve">GT Pathways </w:t>
      </w:r>
      <w:r>
        <w:t>Courses</w:t>
      </w:r>
    </w:p>
    <w:p w14:paraId="2D9C90D9" w14:textId="4352175D" w:rsidR="00D52052" w:rsidRDefault="00F77771" w:rsidP="00CA1596">
      <w:r w:rsidRPr="004775E9">
        <w:rPr>
          <w:b/>
          <w:bCs/>
        </w:rPr>
        <w:t>CDHE collected data from the Colorado Community College System</w:t>
      </w:r>
      <w:r w:rsidR="00276CEC">
        <w:t xml:space="preserve"> of the highest enrollment and transfer activity courses among GT Pathways. </w:t>
      </w:r>
      <w:r w:rsidR="00913426">
        <w:t xml:space="preserve">The top seven courses for enrollment were also the </w:t>
      </w:r>
      <w:r w:rsidR="00C65626">
        <w:t>seven highest for transfer volume.</w:t>
      </w:r>
    </w:p>
    <w:p w14:paraId="0AA52740" w14:textId="77777777" w:rsidR="00D52052" w:rsidRDefault="00D52052" w:rsidP="00CA1596"/>
    <w:p w14:paraId="667BF678" w14:textId="6A6DA022" w:rsidR="00CA1596" w:rsidRDefault="00CA1596" w:rsidP="00CA1596">
      <w:r>
        <w:lastRenderedPageBreak/>
        <w:t xml:space="preserve">The following table represents </w:t>
      </w:r>
      <w:r w:rsidR="00EF0F2F">
        <w:t>GT Pathways courses</w:t>
      </w:r>
      <w:r>
        <w:t xml:space="preserve"> </w:t>
      </w:r>
      <w:r w:rsidR="00EF0F2F">
        <w:t xml:space="preserve">sorted in descending order of </w:t>
      </w:r>
      <w:r w:rsidRPr="00EF0F2F">
        <w:rPr>
          <w:b/>
          <w:bCs/>
        </w:rPr>
        <w:t>highest enrollment</w:t>
      </w:r>
      <w:r w:rsidR="00EF0F2F">
        <w:t xml:space="preserve"> for </w:t>
      </w:r>
      <w:r w:rsidR="00EF0F2F" w:rsidRPr="00EF0F2F">
        <w:rPr>
          <w:b/>
          <w:bCs/>
        </w:rPr>
        <w:t>academic years 2023 and 2024</w:t>
      </w:r>
      <w:r w:rsidR="00EF0F2F">
        <w:rPr>
          <w:b/>
          <w:bCs/>
        </w:rPr>
        <w:t xml:space="preserve"> combined</w:t>
      </w:r>
      <w:r w:rsidR="00EF0F2F">
        <w:t>.</w:t>
      </w:r>
    </w:p>
    <w:tbl>
      <w:tblPr>
        <w:tblStyle w:val="ListTable4-Accent2"/>
        <w:tblW w:w="0" w:type="auto"/>
        <w:tblInd w:w="-108" w:type="dxa"/>
        <w:tblLook w:val="04A0" w:firstRow="1" w:lastRow="0" w:firstColumn="1" w:lastColumn="0" w:noHBand="0" w:noVBand="1"/>
        <w:tblCaption w:val="Table"/>
      </w:tblPr>
      <w:tblGrid>
        <w:gridCol w:w="5625"/>
        <w:gridCol w:w="1562"/>
        <w:gridCol w:w="1981"/>
      </w:tblGrid>
      <w:tr w:rsidR="009530F9" w:rsidRPr="00D62E0E" w14:paraId="0BC4E85E" w14:textId="38DC1E6F" w:rsidTr="004775E9">
        <w:trPr>
          <w:cnfStyle w:val="100000000000" w:firstRow="1" w:lastRow="0" w:firstColumn="0" w:lastColumn="0" w:oddVBand="0" w:evenVBand="0" w:oddHBand="0" w:evenHBand="0" w:firstRowFirstColumn="0" w:firstRowLastColumn="0" w:lastRowFirstColumn="0" w:lastRowLastColumn="0"/>
          <w:trHeight w:val="54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1970" w:themeFill="accent1"/>
          </w:tcPr>
          <w:p w14:paraId="1629DD27" w14:textId="6C89F0F9" w:rsidR="009530F9" w:rsidRPr="00D62E0E" w:rsidRDefault="009530F9" w:rsidP="00E92429">
            <w:pPr>
              <w:jc w:val="left"/>
              <w:rPr>
                <w:rFonts w:ascii="Calibri" w:hAnsi="Calibri" w:cs="Calibri"/>
                <w:color w:val="FFFFFF" w:themeColor="background1"/>
              </w:rPr>
            </w:pPr>
            <w:r>
              <w:rPr>
                <w:rFonts w:ascii="Calibri" w:hAnsi="Calibri" w:cs="Calibri"/>
                <w:color w:val="FFFFFF" w:themeColor="background1"/>
              </w:rPr>
              <w:t>CCCS Highest Enrollment Courses</w:t>
            </w:r>
          </w:p>
        </w:tc>
        <w:tc>
          <w:tcPr>
            <w:tcW w:w="0" w:type="auto"/>
            <w:shd w:val="clear" w:color="auto" w:fill="001970" w:themeFill="accent1"/>
          </w:tcPr>
          <w:p w14:paraId="5F15D6BD" w14:textId="5BE21550" w:rsidR="009530F9" w:rsidRDefault="009530F9" w:rsidP="00E92429">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Pr>
                <w:rFonts w:ascii="Calibri" w:hAnsi="Calibri" w:cs="Calibri"/>
                <w:color w:val="FFFFFF" w:themeColor="background1"/>
              </w:rPr>
              <w:t>GTP Category</w:t>
            </w:r>
          </w:p>
        </w:tc>
        <w:tc>
          <w:tcPr>
            <w:tcW w:w="0" w:type="auto"/>
            <w:shd w:val="clear" w:color="auto" w:fill="001970" w:themeFill="accent1"/>
          </w:tcPr>
          <w:p w14:paraId="63DC0BFE" w14:textId="5F841388" w:rsidR="009530F9" w:rsidRPr="00D62E0E" w:rsidRDefault="0071040E" w:rsidP="00E92429">
            <w:pPr>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Pr>
                <w:rFonts w:ascii="Calibri" w:hAnsi="Calibri" w:cs="Calibri"/>
                <w:color w:val="FFFFFF" w:themeColor="background1"/>
              </w:rPr>
              <w:t xml:space="preserve">Total </w:t>
            </w:r>
            <w:r w:rsidR="009530F9">
              <w:rPr>
                <w:rFonts w:ascii="Calibri" w:hAnsi="Calibri" w:cs="Calibri"/>
                <w:color w:val="FFFFFF" w:themeColor="background1"/>
              </w:rPr>
              <w:t>Enrollments</w:t>
            </w:r>
          </w:p>
        </w:tc>
      </w:tr>
      <w:tr w:rsidR="009530F9" w:rsidRPr="00D62E0E" w14:paraId="1DB8E0B0" w14:textId="5B3C78AF" w:rsidTr="00477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131081" w14:textId="36D07A13"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ENG 1021 English Composition I</w:t>
            </w:r>
          </w:p>
        </w:tc>
        <w:tc>
          <w:tcPr>
            <w:tcW w:w="0" w:type="auto"/>
          </w:tcPr>
          <w:p w14:paraId="226CDABD" w14:textId="23B71774" w:rsidR="009530F9" w:rsidRPr="00D62E0E"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CO1</w:t>
            </w:r>
          </w:p>
        </w:tc>
        <w:tc>
          <w:tcPr>
            <w:tcW w:w="0" w:type="auto"/>
          </w:tcPr>
          <w:p w14:paraId="45104F24" w14:textId="5D021336" w:rsidR="009530F9" w:rsidRPr="00D62E0E"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48,143</w:t>
            </w:r>
          </w:p>
        </w:tc>
      </w:tr>
      <w:tr w:rsidR="009530F9" w:rsidRPr="00D62E0E" w14:paraId="1405DDB0" w14:textId="145B115F" w:rsidTr="00477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9073C9" w14:textId="118FB17F"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MAT 1340 College Algebra</w:t>
            </w:r>
          </w:p>
        </w:tc>
        <w:tc>
          <w:tcPr>
            <w:tcW w:w="0" w:type="auto"/>
          </w:tcPr>
          <w:p w14:paraId="38B6DA89" w14:textId="637F6A45" w:rsidR="009530F9" w:rsidRPr="00D62E0E"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MA1</w:t>
            </w:r>
          </w:p>
        </w:tc>
        <w:tc>
          <w:tcPr>
            <w:tcW w:w="0" w:type="auto"/>
          </w:tcPr>
          <w:p w14:paraId="59EA7E8D" w14:textId="0B54A081" w:rsidR="009530F9" w:rsidRPr="00D62E0E"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29,286</w:t>
            </w:r>
          </w:p>
        </w:tc>
      </w:tr>
      <w:tr w:rsidR="009530F9" w:rsidRPr="00D62E0E" w14:paraId="57B5BBB7" w14:textId="5C4BC782" w:rsidTr="00477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166315" w14:textId="0EDDF6C3"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ENG 1022 English Composition II</w:t>
            </w:r>
          </w:p>
        </w:tc>
        <w:tc>
          <w:tcPr>
            <w:tcW w:w="0" w:type="auto"/>
          </w:tcPr>
          <w:p w14:paraId="35E3F4AC" w14:textId="185FFEDB" w:rsidR="009530F9" w:rsidRPr="00D62E0E"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CO2</w:t>
            </w:r>
          </w:p>
        </w:tc>
        <w:tc>
          <w:tcPr>
            <w:tcW w:w="0" w:type="auto"/>
          </w:tcPr>
          <w:p w14:paraId="052E2E60" w14:textId="40AAB8E1" w:rsidR="009530F9" w:rsidRPr="00D62E0E"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27,864</w:t>
            </w:r>
          </w:p>
        </w:tc>
      </w:tr>
      <w:tr w:rsidR="009530F9" w:rsidRPr="00D62E0E" w14:paraId="49C07621" w14:textId="26D626D4" w:rsidTr="00477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EF4713" w14:textId="54965ABD"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PSY 1001 General Psychology I</w:t>
            </w:r>
          </w:p>
        </w:tc>
        <w:tc>
          <w:tcPr>
            <w:tcW w:w="0" w:type="auto"/>
          </w:tcPr>
          <w:p w14:paraId="03869DD1" w14:textId="759DD00B" w:rsidR="009530F9" w:rsidRPr="00D62E0E"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SS3</w:t>
            </w:r>
          </w:p>
        </w:tc>
        <w:tc>
          <w:tcPr>
            <w:tcW w:w="0" w:type="auto"/>
          </w:tcPr>
          <w:p w14:paraId="5E60FC6B" w14:textId="3FC7547A" w:rsidR="009530F9" w:rsidRPr="00D62E0E"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18,749</w:t>
            </w:r>
          </w:p>
        </w:tc>
      </w:tr>
      <w:tr w:rsidR="009530F9" w:rsidRPr="00D62E0E" w14:paraId="14ED34D1" w14:textId="0B456807" w:rsidTr="00477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780A0FC" w14:textId="01C1BA23"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BIO 1111 General College Biology I + Lab</w:t>
            </w:r>
          </w:p>
        </w:tc>
        <w:tc>
          <w:tcPr>
            <w:tcW w:w="0" w:type="auto"/>
          </w:tcPr>
          <w:p w14:paraId="1CACCAF3" w14:textId="35F160AC" w:rsidR="009530F9"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SC1</w:t>
            </w:r>
          </w:p>
        </w:tc>
        <w:tc>
          <w:tcPr>
            <w:tcW w:w="0" w:type="auto"/>
          </w:tcPr>
          <w:p w14:paraId="2BF2993B" w14:textId="5A689BD1" w:rsidR="009530F9"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11,675</w:t>
            </w:r>
          </w:p>
        </w:tc>
      </w:tr>
      <w:tr w:rsidR="009530F9" w:rsidRPr="00D62E0E" w14:paraId="20ACD2DF" w14:textId="2A823198" w:rsidTr="00477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0FFB3B" w14:textId="0DE0EF35"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MAT 1260 Intro to Statistics</w:t>
            </w:r>
          </w:p>
        </w:tc>
        <w:tc>
          <w:tcPr>
            <w:tcW w:w="0" w:type="auto"/>
          </w:tcPr>
          <w:p w14:paraId="5F26074F" w14:textId="7D883663" w:rsidR="009530F9"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MA1</w:t>
            </w:r>
          </w:p>
        </w:tc>
        <w:tc>
          <w:tcPr>
            <w:tcW w:w="0" w:type="auto"/>
          </w:tcPr>
          <w:p w14:paraId="50F34BB9" w14:textId="64DD945F" w:rsidR="009530F9"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11,020</w:t>
            </w:r>
          </w:p>
        </w:tc>
      </w:tr>
      <w:tr w:rsidR="009530F9" w:rsidRPr="00D62E0E" w14:paraId="0657DF8F" w14:textId="4A0653D5" w:rsidTr="00477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22869C" w14:textId="6A43B1CC"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COM 1250 Interpersonal Communication</w:t>
            </w:r>
          </w:p>
        </w:tc>
        <w:tc>
          <w:tcPr>
            <w:tcW w:w="0" w:type="auto"/>
          </w:tcPr>
          <w:p w14:paraId="4492E118" w14:textId="23473350" w:rsidR="009530F9"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SS3</w:t>
            </w:r>
          </w:p>
        </w:tc>
        <w:tc>
          <w:tcPr>
            <w:tcW w:w="0" w:type="auto"/>
          </w:tcPr>
          <w:p w14:paraId="51D22810" w14:textId="23F1A87A" w:rsidR="009530F9"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9,580</w:t>
            </w:r>
          </w:p>
        </w:tc>
      </w:tr>
      <w:tr w:rsidR="009530F9" w:rsidRPr="00D62E0E" w14:paraId="521EDDBF" w14:textId="555C62F5" w:rsidTr="00477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281A15" w14:textId="43EE90A1"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 xml:space="preserve">BIO 2101 Human Anatomy &amp; Physiology I + Lab </w:t>
            </w:r>
          </w:p>
        </w:tc>
        <w:tc>
          <w:tcPr>
            <w:tcW w:w="0" w:type="auto"/>
          </w:tcPr>
          <w:p w14:paraId="417D8D1E" w14:textId="6DD6B236" w:rsidR="009530F9"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SC1</w:t>
            </w:r>
          </w:p>
        </w:tc>
        <w:tc>
          <w:tcPr>
            <w:tcW w:w="0" w:type="auto"/>
          </w:tcPr>
          <w:p w14:paraId="089B8A8C" w14:textId="0A53CB9D" w:rsidR="009530F9"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9,163</w:t>
            </w:r>
          </w:p>
        </w:tc>
      </w:tr>
      <w:tr w:rsidR="009530F9" w:rsidRPr="00D62E0E" w14:paraId="798595F5" w14:textId="2FCD6E01" w:rsidTr="00477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2DCDC5" w14:textId="577B7D8A"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PSY 2440 Human Growth &amp; Development</w:t>
            </w:r>
          </w:p>
        </w:tc>
        <w:tc>
          <w:tcPr>
            <w:tcW w:w="0" w:type="auto"/>
          </w:tcPr>
          <w:p w14:paraId="493BA8D3" w14:textId="438FF32A" w:rsidR="009530F9"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SS3</w:t>
            </w:r>
          </w:p>
        </w:tc>
        <w:tc>
          <w:tcPr>
            <w:tcW w:w="0" w:type="auto"/>
          </w:tcPr>
          <w:p w14:paraId="10C89194" w14:textId="6F4F547D" w:rsidR="009530F9"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8,837</w:t>
            </w:r>
          </w:p>
        </w:tc>
      </w:tr>
      <w:tr w:rsidR="009530F9" w:rsidRPr="00D62E0E" w14:paraId="62557236" w14:textId="1EB9D84F" w:rsidTr="00477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D6C4E1" w14:textId="447CFD67"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SOC 1001 Intro to Sociology</w:t>
            </w:r>
          </w:p>
        </w:tc>
        <w:tc>
          <w:tcPr>
            <w:tcW w:w="0" w:type="auto"/>
          </w:tcPr>
          <w:p w14:paraId="0E4B9C5F" w14:textId="327B76AA" w:rsidR="009530F9"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SS3</w:t>
            </w:r>
          </w:p>
        </w:tc>
        <w:tc>
          <w:tcPr>
            <w:tcW w:w="0" w:type="auto"/>
          </w:tcPr>
          <w:p w14:paraId="05BA9792" w14:textId="011CBECA" w:rsidR="009530F9"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8,722</w:t>
            </w:r>
          </w:p>
        </w:tc>
      </w:tr>
    </w:tbl>
    <w:p w14:paraId="030B67F9" w14:textId="77777777" w:rsidR="00CA1596" w:rsidRPr="00B71B9E" w:rsidRDefault="00CA1596" w:rsidP="00CA1596"/>
    <w:p w14:paraId="0377BE9F" w14:textId="7D680EC8" w:rsidR="00CA1596" w:rsidRPr="00CA1596" w:rsidRDefault="00CA1596" w:rsidP="00CA1596">
      <w:r>
        <w:t xml:space="preserve">The following table represents </w:t>
      </w:r>
      <w:r w:rsidR="00EF0F2F">
        <w:t xml:space="preserve">GT Pathways </w:t>
      </w:r>
      <w:r>
        <w:t xml:space="preserve">courses </w:t>
      </w:r>
      <w:r w:rsidR="00EF0F2F">
        <w:t>sorted in descending order of t</w:t>
      </w:r>
      <w:r>
        <w:t xml:space="preserve">he </w:t>
      </w:r>
      <w:r w:rsidRPr="00EF0F2F">
        <w:rPr>
          <w:b/>
          <w:bCs/>
        </w:rPr>
        <w:t>highest transfer volume</w:t>
      </w:r>
      <w:r w:rsidR="00EF0F2F">
        <w:t xml:space="preserve"> for </w:t>
      </w:r>
      <w:r w:rsidR="00EF0F2F" w:rsidRPr="00EF0F2F">
        <w:rPr>
          <w:b/>
          <w:bCs/>
        </w:rPr>
        <w:t>academic years 2023 and 2024 combined</w:t>
      </w:r>
      <w:r>
        <w:t>.</w:t>
      </w:r>
      <w:r w:rsidR="00B6292F">
        <w:t xml:space="preserve"> </w:t>
      </w:r>
    </w:p>
    <w:tbl>
      <w:tblPr>
        <w:tblStyle w:val="ListTable4-Accent2"/>
        <w:tblW w:w="0" w:type="auto"/>
        <w:tblInd w:w="-108" w:type="dxa"/>
        <w:tblLook w:val="04A0" w:firstRow="1" w:lastRow="0" w:firstColumn="1" w:lastColumn="0" w:noHBand="0" w:noVBand="1"/>
        <w:tblCaption w:val="Table"/>
      </w:tblPr>
      <w:tblGrid>
        <w:gridCol w:w="5598"/>
        <w:gridCol w:w="1620"/>
        <w:gridCol w:w="1980"/>
      </w:tblGrid>
      <w:tr w:rsidR="0071040E" w:rsidRPr="00D62E0E" w14:paraId="1C509971" w14:textId="601398EF" w:rsidTr="004775E9">
        <w:trPr>
          <w:cnfStyle w:val="100000000000" w:firstRow="1" w:lastRow="0" w:firstColumn="0" w:lastColumn="0" w:oddVBand="0" w:evenVBand="0" w:oddHBand="0" w:evenHBand="0" w:firstRowFirstColumn="0" w:firstRowLastColumn="0" w:lastRowFirstColumn="0" w:lastRowLastColumn="0"/>
          <w:trHeight w:val="553"/>
          <w:tblHeader/>
        </w:trPr>
        <w:tc>
          <w:tcPr>
            <w:cnfStyle w:val="001000000000" w:firstRow="0" w:lastRow="0" w:firstColumn="1" w:lastColumn="0" w:oddVBand="0" w:evenVBand="0" w:oddHBand="0" w:evenHBand="0" w:firstRowFirstColumn="0" w:firstRowLastColumn="0" w:lastRowFirstColumn="0" w:lastRowLastColumn="0"/>
            <w:tcW w:w="5598" w:type="dxa"/>
            <w:shd w:val="clear" w:color="auto" w:fill="001970" w:themeFill="accent1"/>
          </w:tcPr>
          <w:p w14:paraId="386C06F1" w14:textId="7F935445" w:rsidR="0071040E" w:rsidRPr="00D62E0E" w:rsidRDefault="0071040E" w:rsidP="00E92429">
            <w:pPr>
              <w:jc w:val="left"/>
              <w:rPr>
                <w:rFonts w:ascii="Calibri" w:hAnsi="Calibri" w:cs="Calibri"/>
                <w:color w:val="FFFFFF" w:themeColor="background1"/>
              </w:rPr>
            </w:pPr>
            <w:r>
              <w:rPr>
                <w:rFonts w:ascii="Calibri" w:hAnsi="Calibri" w:cs="Calibri"/>
                <w:color w:val="FFFFFF" w:themeColor="background1"/>
              </w:rPr>
              <w:t>CCCS Highest Transfer Volume Courses</w:t>
            </w:r>
          </w:p>
        </w:tc>
        <w:tc>
          <w:tcPr>
            <w:tcW w:w="1620" w:type="dxa"/>
            <w:shd w:val="clear" w:color="auto" w:fill="001970" w:themeFill="accent1"/>
          </w:tcPr>
          <w:p w14:paraId="075C6EFB" w14:textId="23DD6C74" w:rsidR="0071040E" w:rsidRDefault="0071040E" w:rsidP="00E92429">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Pr>
                <w:rFonts w:ascii="Calibri" w:hAnsi="Calibri" w:cs="Calibri"/>
                <w:color w:val="FFFFFF" w:themeColor="background1"/>
              </w:rPr>
              <w:t>GTP Category</w:t>
            </w:r>
          </w:p>
        </w:tc>
        <w:tc>
          <w:tcPr>
            <w:tcW w:w="1980" w:type="dxa"/>
            <w:shd w:val="clear" w:color="auto" w:fill="001970" w:themeFill="accent1"/>
          </w:tcPr>
          <w:p w14:paraId="6BFAE402" w14:textId="42416ED0" w:rsidR="0071040E" w:rsidRDefault="0071040E" w:rsidP="00E92429">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Pr>
                <w:rFonts w:ascii="Calibri" w:hAnsi="Calibri" w:cs="Calibri"/>
                <w:color w:val="FFFFFF" w:themeColor="background1"/>
              </w:rPr>
              <w:t>Total Transfers</w:t>
            </w:r>
          </w:p>
        </w:tc>
      </w:tr>
      <w:tr w:rsidR="0071040E" w:rsidRPr="00D62E0E" w14:paraId="476FE689" w14:textId="4829C644" w:rsidTr="004775E9">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3F505AA7" w14:textId="55D0426C"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ENG 1021 English Composition I</w:t>
            </w:r>
          </w:p>
        </w:tc>
        <w:tc>
          <w:tcPr>
            <w:tcW w:w="1620" w:type="dxa"/>
          </w:tcPr>
          <w:p w14:paraId="0D8DF69E" w14:textId="55F7D76B" w:rsidR="0071040E" w:rsidRPr="00D62E0E"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CO1</w:t>
            </w:r>
          </w:p>
        </w:tc>
        <w:tc>
          <w:tcPr>
            <w:tcW w:w="1980" w:type="dxa"/>
            <w:vAlign w:val="bottom"/>
          </w:tcPr>
          <w:p w14:paraId="0BF9966C" w14:textId="1784A411" w:rsidR="0071040E" w:rsidRPr="00543FB8"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17,586</w:t>
            </w:r>
          </w:p>
        </w:tc>
      </w:tr>
      <w:tr w:rsidR="0071040E" w:rsidRPr="00D62E0E" w14:paraId="4DBF06D0" w14:textId="68CBE3CE" w:rsidTr="004775E9">
        <w:trPr>
          <w:cnfStyle w:val="000000010000" w:firstRow="0" w:lastRow="0" w:firstColumn="0" w:lastColumn="0" w:oddVBand="0" w:evenVBand="0" w:oddHBand="0" w:evenHBand="1"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39007D96" w14:textId="51CD296A"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MAT 1340 College Algebra</w:t>
            </w:r>
          </w:p>
        </w:tc>
        <w:tc>
          <w:tcPr>
            <w:tcW w:w="1620" w:type="dxa"/>
          </w:tcPr>
          <w:p w14:paraId="5CC49FE0" w14:textId="4266BE25" w:rsidR="0071040E" w:rsidRPr="00D62E0E"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MA1</w:t>
            </w:r>
          </w:p>
        </w:tc>
        <w:tc>
          <w:tcPr>
            <w:tcW w:w="1980" w:type="dxa"/>
            <w:vAlign w:val="bottom"/>
          </w:tcPr>
          <w:p w14:paraId="2013B07C" w14:textId="12169074" w:rsidR="0071040E" w:rsidRPr="00543FB8"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11,711</w:t>
            </w:r>
          </w:p>
        </w:tc>
      </w:tr>
      <w:tr w:rsidR="0071040E" w:rsidRPr="00D62E0E" w14:paraId="7DC957EE" w14:textId="43680FA8" w:rsidTr="004775E9">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0FE88098" w14:textId="5905A06C"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ENG 1022 English Composition II</w:t>
            </w:r>
          </w:p>
        </w:tc>
        <w:tc>
          <w:tcPr>
            <w:tcW w:w="1620" w:type="dxa"/>
          </w:tcPr>
          <w:p w14:paraId="0290CB70" w14:textId="58FE5F02" w:rsidR="0071040E" w:rsidRPr="00D62E0E"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CO2</w:t>
            </w:r>
          </w:p>
        </w:tc>
        <w:tc>
          <w:tcPr>
            <w:tcW w:w="1980" w:type="dxa"/>
            <w:vAlign w:val="bottom"/>
          </w:tcPr>
          <w:p w14:paraId="132987D8" w14:textId="6D0B66EF" w:rsidR="0071040E" w:rsidRPr="00543FB8"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11,462</w:t>
            </w:r>
          </w:p>
        </w:tc>
      </w:tr>
      <w:tr w:rsidR="0071040E" w:rsidRPr="00D62E0E" w14:paraId="4C773A02" w14:textId="6F0F8C12" w:rsidTr="004775E9">
        <w:trPr>
          <w:cnfStyle w:val="000000010000" w:firstRow="0" w:lastRow="0" w:firstColumn="0" w:lastColumn="0" w:oddVBand="0" w:evenVBand="0" w:oddHBand="0" w:evenHBand="1"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06775B79" w14:textId="27EC0658"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PSY 1001 General Psychology I</w:t>
            </w:r>
          </w:p>
        </w:tc>
        <w:tc>
          <w:tcPr>
            <w:tcW w:w="1620" w:type="dxa"/>
          </w:tcPr>
          <w:p w14:paraId="3169A6D5" w14:textId="11AD16D9" w:rsidR="0071040E" w:rsidRPr="00D62E0E"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SS3</w:t>
            </w:r>
          </w:p>
        </w:tc>
        <w:tc>
          <w:tcPr>
            <w:tcW w:w="1980" w:type="dxa"/>
            <w:vAlign w:val="bottom"/>
          </w:tcPr>
          <w:p w14:paraId="454191C8" w14:textId="15603E51" w:rsidR="0071040E" w:rsidRPr="00543FB8"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7,601</w:t>
            </w:r>
          </w:p>
        </w:tc>
      </w:tr>
      <w:tr w:rsidR="0071040E" w:rsidRPr="00D62E0E" w14:paraId="0DAABBEB" w14:textId="3A0868D3" w:rsidTr="004775E9">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13E5E4FF" w14:textId="2E487175"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BIO 1111 General College Biology I + Lab</w:t>
            </w:r>
          </w:p>
        </w:tc>
        <w:tc>
          <w:tcPr>
            <w:tcW w:w="1620" w:type="dxa"/>
          </w:tcPr>
          <w:p w14:paraId="758EB3B2" w14:textId="0C005B4F" w:rsidR="0071040E"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SC1</w:t>
            </w:r>
          </w:p>
        </w:tc>
        <w:tc>
          <w:tcPr>
            <w:tcW w:w="1980" w:type="dxa"/>
            <w:vAlign w:val="bottom"/>
          </w:tcPr>
          <w:p w14:paraId="7F08DAFE" w14:textId="345255FA" w:rsidR="0071040E" w:rsidRPr="00543FB8"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5,394</w:t>
            </w:r>
          </w:p>
        </w:tc>
      </w:tr>
      <w:tr w:rsidR="0071040E" w:rsidRPr="00D62E0E" w14:paraId="3E0E1568" w14:textId="709A93EC" w:rsidTr="004775E9">
        <w:trPr>
          <w:cnfStyle w:val="000000010000" w:firstRow="0" w:lastRow="0" w:firstColumn="0" w:lastColumn="0" w:oddVBand="0" w:evenVBand="0" w:oddHBand="0" w:evenHBand="1"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69F801DE" w14:textId="48A66928"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MAT 1260 Intro to Statistics</w:t>
            </w:r>
          </w:p>
        </w:tc>
        <w:tc>
          <w:tcPr>
            <w:tcW w:w="1620" w:type="dxa"/>
          </w:tcPr>
          <w:p w14:paraId="6A6C9543" w14:textId="71443D37" w:rsidR="0071040E"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MA1</w:t>
            </w:r>
          </w:p>
        </w:tc>
        <w:tc>
          <w:tcPr>
            <w:tcW w:w="1980" w:type="dxa"/>
            <w:vAlign w:val="bottom"/>
          </w:tcPr>
          <w:p w14:paraId="2DE4E417" w14:textId="4A335A1A" w:rsidR="0071040E"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4,108</w:t>
            </w:r>
          </w:p>
        </w:tc>
      </w:tr>
      <w:tr w:rsidR="0071040E" w:rsidRPr="00D62E0E" w14:paraId="2C7310E7" w14:textId="65F4F46B" w:rsidTr="004775E9">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2E72B15C" w14:textId="2FE14563"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COM 1250 Interpersonal Communication</w:t>
            </w:r>
          </w:p>
        </w:tc>
        <w:tc>
          <w:tcPr>
            <w:tcW w:w="1620" w:type="dxa"/>
          </w:tcPr>
          <w:p w14:paraId="010ADFA2" w14:textId="6F0C3783" w:rsidR="0071040E"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SS3</w:t>
            </w:r>
          </w:p>
        </w:tc>
        <w:tc>
          <w:tcPr>
            <w:tcW w:w="1980" w:type="dxa"/>
            <w:vAlign w:val="bottom"/>
          </w:tcPr>
          <w:p w14:paraId="4DC82DE5" w14:textId="13E2D3E2" w:rsidR="0071040E"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4,046</w:t>
            </w:r>
          </w:p>
        </w:tc>
      </w:tr>
      <w:tr w:rsidR="0071040E" w:rsidRPr="00D62E0E" w14:paraId="53E9D67A" w14:textId="5D4F446A" w:rsidTr="004775E9">
        <w:trPr>
          <w:cnfStyle w:val="000000010000" w:firstRow="0" w:lastRow="0" w:firstColumn="0" w:lastColumn="0" w:oddVBand="0" w:evenVBand="0" w:oddHBand="0" w:evenHBand="1"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6D6FF939" w14:textId="5C807C59"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ECO 2001 Principles of Macroeconomics</w:t>
            </w:r>
          </w:p>
        </w:tc>
        <w:tc>
          <w:tcPr>
            <w:tcW w:w="1620" w:type="dxa"/>
          </w:tcPr>
          <w:p w14:paraId="7BB8F890" w14:textId="0AD5EF58" w:rsidR="0071040E"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SS1</w:t>
            </w:r>
          </w:p>
        </w:tc>
        <w:tc>
          <w:tcPr>
            <w:tcW w:w="1980" w:type="dxa"/>
            <w:vAlign w:val="bottom"/>
          </w:tcPr>
          <w:p w14:paraId="2295A5AD" w14:textId="7D744E8C" w:rsidR="0071040E"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3,958</w:t>
            </w:r>
          </w:p>
        </w:tc>
      </w:tr>
      <w:tr w:rsidR="0071040E" w:rsidRPr="00D62E0E" w14:paraId="0EAF9250" w14:textId="5153E9F6" w:rsidTr="004775E9">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5033A2C7" w14:textId="0AAF7389"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SOC 1001 Intro to Sociology</w:t>
            </w:r>
          </w:p>
        </w:tc>
        <w:tc>
          <w:tcPr>
            <w:tcW w:w="1620" w:type="dxa"/>
          </w:tcPr>
          <w:p w14:paraId="67F88DD9" w14:textId="12BE1C94" w:rsidR="0071040E"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SS3</w:t>
            </w:r>
          </w:p>
        </w:tc>
        <w:tc>
          <w:tcPr>
            <w:tcW w:w="1980" w:type="dxa"/>
            <w:vAlign w:val="bottom"/>
          </w:tcPr>
          <w:p w14:paraId="3965CAAF" w14:textId="41C2E3FD" w:rsidR="0071040E"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3,902</w:t>
            </w:r>
          </w:p>
        </w:tc>
      </w:tr>
      <w:tr w:rsidR="0071040E" w:rsidRPr="00D62E0E" w14:paraId="55B30221" w14:textId="36D4841B" w:rsidTr="004775E9">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5598" w:type="dxa"/>
          </w:tcPr>
          <w:p w14:paraId="4B0DE76F" w14:textId="5CF59CAF"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ECO 2002 Principles of Microeconomics</w:t>
            </w:r>
          </w:p>
        </w:tc>
        <w:tc>
          <w:tcPr>
            <w:tcW w:w="1620" w:type="dxa"/>
          </w:tcPr>
          <w:p w14:paraId="6F746656" w14:textId="6D80B336" w:rsidR="0071040E"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SS1</w:t>
            </w:r>
          </w:p>
        </w:tc>
        <w:tc>
          <w:tcPr>
            <w:tcW w:w="1980" w:type="dxa"/>
            <w:vAlign w:val="bottom"/>
          </w:tcPr>
          <w:p w14:paraId="6B587709" w14:textId="02EEF130" w:rsidR="0071040E"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3,657</w:t>
            </w:r>
          </w:p>
        </w:tc>
      </w:tr>
    </w:tbl>
    <w:p w14:paraId="58CFC349" w14:textId="77777777" w:rsidR="00B71B9E" w:rsidRDefault="00B71B9E" w:rsidP="00B71B9E"/>
    <w:p w14:paraId="09BF0D63" w14:textId="77777777" w:rsidR="00E94325" w:rsidRPr="00E94325" w:rsidRDefault="00E94325" w:rsidP="00E94325"/>
    <w:p w14:paraId="70C3FE15" w14:textId="29F76371" w:rsidR="00E94325" w:rsidRPr="00E94325" w:rsidRDefault="00E94325" w:rsidP="00E94325">
      <w:pPr>
        <w:tabs>
          <w:tab w:val="left" w:pos="9810"/>
        </w:tabs>
      </w:pPr>
      <w:r>
        <w:tab/>
      </w:r>
    </w:p>
    <w:p w14:paraId="2315EB09" w14:textId="513F0836" w:rsidR="00B71B9E" w:rsidRDefault="00546A03" w:rsidP="00592536">
      <w:pPr>
        <w:pStyle w:val="Heading3"/>
        <w:numPr>
          <w:ilvl w:val="0"/>
          <w:numId w:val="12"/>
        </w:numPr>
      </w:pPr>
      <w:r>
        <w:lastRenderedPageBreak/>
        <w:t xml:space="preserve">GT Pathways Courses </w:t>
      </w:r>
      <w:r w:rsidR="00592536">
        <w:t>Accepted in Transfer but Not Applied to</w:t>
      </w:r>
      <w:r>
        <w:t xml:space="preserve"> Degree Programs</w:t>
      </w:r>
    </w:p>
    <w:p w14:paraId="6EEE0E44" w14:textId="463BBA16" w:rsidR="00E255DE" w:rsidRDefault="002F3BA0" w:rsidP="00BA2FD0">
      <w:r>
        <w:t xml:space="preserve">Institutions </w:t>
      </w:r>
      <w:r w:rsidR="00E255DE">
        <w:t>submitted</w:t>
      </w:r>
      <w:r>
        <w:t xml:space="preserve"> data to </w:t>
      </w:r>
      <w:r w:rsidR="00592536">
        <w:t>the Department</w:t>
      </w:r>
      <w:r>
        <w:t xml:space="preserve"> by September 2025</w:t>
      </w:r>
      <w:r w:rsidR="00592536">
        <w:t xml:space="preserve"> to inform the Commission</w:t>
      </w:r>
      <w:r>
        <w:t xml:space="preserve"> </w:t>
      </w:r>
      <w:r w:rsidR="001C0DA6">
        <w:t>regarding the transfer acceptance versus application of GT Pathways courses.</w:t>
      </w:r>
      <w:r w:rsidR="00E255DE">
        <w:t xml:space="preserve"> </w:t>
      </w:r>
      <w:r w:rsidR="00E255DE" w:rsidRPr="00E255DE">
        <w:t>The qualitative data</w:t>
      </w:r>
      <w:r w:rsidR="00E255DE">
        <w:t xml:space="preserve">, </w:t>
      </w:r>
      <w:r w:rsidR="00E255DE" w:rsidRPr="00E255DE">
        <w:t>comprising explanations, exceptions, and institutional questions</w:t>
      </w:r>
      <w:r w:rsidR="00E255DE">
        <w:t xml:space="preserve"> </w:t>
      </w:r>
      <w:r w:rsidR="00E255DE" w:rsidRPr="00E255DE">
        <w:t>provides critical insight into policy interpretation and operational challenges statewide.</w:t>
      </w:r>
      <w:r w:rsidR="001C0DA6">
        <w:t xml:space="preserve"> </w:t>
      </w:r>
    </w:p>
    <w:p w14:paraId="57FF0A1D" w14:textId="77777777" w:rsidR="00E255DE" w:rsidRDefault="00E255DE" w:rsidP="00BA2FD0"/>
    <w:p w14:paraId="096C4578" w14:textId="68885189" w:rsidR="00E255DE" w:rsidRPr="00E255DE" w:rsidRDefault="00E255DE" w:rsidP="00213A08">
      <w:pPr>
        <w:pStyle w:val="Heading4"/>
      </w:pPr>
      <w:r w:rsidRPr="00E255DE">
        <w:t>Institutional Practices and Rationales for Non-Acceptance</w:t>
      </w:r>
    </w:p>
    <w:p w14:paraId="19B1C385" w14:textId="743B4436" w:rsidR="00E255DE" w:rsidRPr="00E255DE" w:rsidRDefault="00E255DE" w:rsidP="00E255DE">
      <w:pPr>
        <w:rPr>
          <w:b/>
          <w:bCs/>
        </w:rPr>
      </w:pPr>
      <w:r w:rsidRPr="00E255DE">
        <w:rPr>
          <w:b/>
          <w:bCs/>
        </w:rPr>
        <w:t>Program-Specific Acceptance Policies</w:t>
      </w:r>
    </w:p>
    <w:p w14:paraId="53A67E43" w14:textId="77777777" w:rsidR="00E255DE" w:rsidRPr="00213A08" w:rsidRDefault="00E255DE" w:rsidP="00E255DE">
      <w:proofErr w:type="gramStart"/>
      <w:r w:rsidRPr="00213A08">
        <w:t>A number of</w:t>
      </w:r>
      <w:proofErr w:type="gramEnd"/>
      <w:r w:rsidRPr="00213A08">
        <w:t xml:space="preserve"> institutions (e.g., ACC, CNCC) previously limited transfer credit to only those courses applicable to a student’s declared program.</w:t>
      </w:r>
    </w:p>
    <w:p w14:paraId="3546ABFA" w14:textId="77777777" w:rsidR="00E255DE" w:rsidRPr="00213A08" w:rsidRDefault="00E255DE" w:rsidP="00E255DE">
      <w:pPr>
        <w:numPr>
          <w:ilvl w:val="0"/>
          <w:numId w:val="13"/>
        </w:numPr>
      </w:pPr>
      <w:r w:rsidRPr="00213A08">
        <w:t xml:space="preserve">ACC explicitly noted that before SB24-164, extraneous credits were not transferred in, </w:t>
      </w:r>
      <w:proofErr w:type="gramStart"/>
      <w:r w:rsidRPr="00213A08">
        <w:t>though starting September 2025</w:t>
      </w:r>
      <w:proofErr w:type="gramEnd"/>
      <w:r w:rsidRPr="00213A08">
        <w:t xml:space="preserve"> they plan to accept all GT courses regardless of applicability.</w:t>
      </w:r>
    </w:p>
    <w:p w14:paraId="73407547" w14:textId="77777777" w:rsidR="00E255DE" w:rsidRPr="00213A08" w:rsidRDefault="00E255DE" w:rsidP="00E255DE">
      <w:pPr>
        <w:numPr>
          <w:ilvl w:val="0"/>
          <w:numId w:val="13"/>
        </w:numPr>
      </w:pPr>
      <w:r w:rsidRPr="00213A08">
        <w:t>CNCC similarly adopted the same shift, beginning in August 2025, marking an important policy convergence.</w:t>
      </w:r>
    </w:p>
    <w:p w14:paraId="0AE00E5F" w14:textId="77777777" w:rsidR="00E255DE" w:rsidRPr="00213A08" w:rsidRDefault="00E255DE" w:rsidP="00E255DE">
      <w:r w:rsidRPr="00213A08">
        <w:t>This indicates a systemic change toward universal GT credit acceptance, aligning with legislative intent to improve transfer transparency.</w:t>
      </w:r>
    </w:p>
    <w:p w14:paraId="64AA31BE" w14:textId="77777777" w:rsidR="00E255DE" w:rsidRPr="00E255DE" w:rsidRDefault="00E255DE" w:rsidP="00E255DE"/>
    <w:p w14:paraId="50940370" w14:textId="6022AAEB" w:rsidR="00E255DE" w:rsidRPr="00E255DE" w:rsidRDefault="00E255DE" w:rsidP="00E255DE">
      <w:pPr>
        <w:rPr>
          <w:b/>
          <w:bCs/>
        </w:rPr>
      </w:pPr>
      <w:r w:rsidRPr="00E255DE">
        <w:rPr>
          <w:b/>
          <w:bCs/>
        </w:rPr>
        <w:t>Time Limit and Quality Restrictions</w:t>
      </w:r>
    </w:p>
    <w:p w14:paraId="5954D0FA" w14:textId="77777777" w:rsidR="00E255DE" w:rsidRPr="00213A08" w:rsidRDefault="00E255DE" w:rsidP="00E255DE">
      <w:r w:rsidRPr="00213A08">
        <w:t>Several institutions (CCA, CNCC) maintain age limits or minimum grade standards:</w:t>
      </w:r>
    </w:p>
    <w:p w14:paraId="25E1F93D" w14:textId="77777777" w:rsidR="00E255DE" w:rsidRPr="00213A08" w:rsidRDefault="00E255DE" w:rsidP="00E255DE">
      <w:pPr>
        <w:numPr>
          <w:ilvl w:val="0"/>
          <w:numId w:val="14"/>
        </w:numPr>
      </w:pPr>
      <w:r w:rsidRPr="00213A08">
        <w:t>Credits older than 10–15 years are excluded, particularly for science and health fields.</w:t>
      </w:r>
    </w:p>
    <w:p w14:paraId="69235AA5" w14:textId="58C4F7CA" w:rsidR="00E255DE" w:rsidRPr="00213A08" w:rsidRDefault="00E255DE" w:rsidP="00E255DE">
      <w:pPr>
        <w:numPr>
          <w:ilvl w:val="0"/>
          <w:numId w:val="14"/>
        </w:numPr>
      </w:pPr>
      <w:r w:rsidRPr="00213A08">
        <w:t xml:space="preserve">Courses below </w:t>
      </w:r>
      <w:proofErr w:type="gramStart"/>
      <w:r w:rsidRPr="00213A08">
        <w:t>a C</w:t>
      </w:r>
      <w:proofErr w:type="gramEnd"/>
      <w:r w:rsidR="00213A08">
        <w:t>-</w:t>
      </w:r>
      <w:r w:rsidRPr="00213A08">
        <w:t xml:space="preserve"> grade are universally rejected.</w:t>
      </w:r>
    </w:p>
    <w:p w14:paraId="0C5962B5" w14:textId="77777777" w:rsidR="00E255DE" w:rsidRPr="00213A08" w:rsidRDefault="00E255DE" w:rsidP="00E255DE">
      <w:r w:rsidRPr="00213A08">
        <w:t>These restrictions reflect local academic policy autonomy but may introduce inconsistency in statewide articulation.</w:t>
      </w:r>
    </w:p>
    <w:p w14:paraId="5250020F" w14:textId="77777777" w:rsidR="00E255DE" w:rsidRPr="00E255DE" w:rsidRDefault="00E255DE" w:rsidP="00E255DE"/>
    <w:p w14:paraId="5C2C6968" w14:textId="21FB809D" w:rsidR="00E255DE" w:rsidRPr="00E255DE" w:rsidRDefault="00E255DE" w:rsidP="00E255DE">
      <w:pPr>
        <w:rPr>
          <w:b/>
          <w:bCs/>
        </w:rPr>
      </w:pPr>
      <w:r w:rsidRPr="00E255DE">
        <w:rPr>
          <w:b/>
          <w:bCs/>
        </w:rPr>
        <w:t>Duplicate and Degree-Holding Students</w:t>
      </w:r>
    </w:p>
    <w:p w14:paraId="2ED4A8B4" w14:textId="77777777" w:rsidR="00E255DE" w:rsidRPr="00213A08" w:rsidRDefault="00E255DE" w:rsidP="00E255DE">
      <w:r w:rsidRPr="00213A08">
        <w:t>Institutions such as CCD and CSU noted that GT Pathways credits are sometimes not accepted because:</w:t>
      </w:r>
    </w:p>
    <w:p w14:paraId="2F58C6C7" w14:textId="77777777" w:rsidR="00E255DE" w:rsidRPr="00213A08" w:rsidRDefault="00E255DE" w:rsidP="00E255DE">
      <w:pPr>
        <w:numPr>
          <w:ilvl w:val="0"/>
          <w:numId w:val="15"/>
        </w:numPr>
      </w:pPr>
      <w:r w:rsidRPr="00213A08">
        <w:t>The student already holds a degree (Associate, Bachelor’s, or Master’s), and thus transfer evaluation is limited.</w:t>
      </w:r>
    </w:p>
    <w:p w14:paraId="7BCE7B68" w14:textId="77777777" w:rsidR="00E255DE" w:rsidRPr="00213A08" w:rsidRDefault="00E255DE" w:rsidP="00E255DE">
      <w:pPr>
        <w:numPr>
          <w:ilvl w:val="0"/>
          <w:numId w:val="15"/>
        </w:numPr>
      </w:pPr>
      <w:r w:rsidRPr="00213A08">
        <w:t>Credits are duplicated from prior coursework, or the student has already received equivalent institutional credit.</w:t>
      </w:r>
    </w:p>
    <w:p w14:paraId="3B61510C" w14:textId="77777777" w:rsidR="00E255DE" w:rsidRPr="00213A08" w:rsidRDefault="00E255DE" w:rsidP="00E255DE">
      <w:r w:rsidRPr="00213A08">
        <w:lastRenderedPageBreak/>
        <w:t>Such patterns highlight edge cases in system reporting, suggesting a need for standardized handling of previously degreed students in transfer audits.</w:t>
      </w:r>
    </w:p>
    <w:p w14:paraId="1D4D7A0C" w14:textId="77777777" w:rsidR="00E255DE" w:rsidRPr="00E255DE" w:rsidRDefault="00E255DE" w:rsidP="00E255DE"/>
    <w:p w14:paraId="036E5B22" w14:textId="69541667" w:rsidR="00E255DE" w:rsidRPr="00E255DE" w:rsidRDefault="00E255DE" w:rsidP="00213A08">
      <w:pPr>
        <w:pStyle w:val="Heading4"/>
      </w:pPr>
      <w:r w:rsidRPr="00E255DE">
        <w:t>Reasons for Accepted Credits Not Being Applied</w:t>
      </w:r>
    </w:p>
    <w:p w14:paraId="3BAAE52B" w14:textId="2D9A3742" w:rsidR="00E255DE" w:rsidRPr="00E255DE" w:rsidRDefault="00E255DE" w:rsidP="00E255DE">
      <w:pPr>
        <w:rPr>
          <w:b/>
          <w:bCs/>
        </w:rPr>
      </w:pPr>
      <w:r w:rsidRPr="00E255DE">
        <w:rPr>
          <w:b/>
          <w:bCs/>
        </w:rPr>
        <w:t>Degree Incompatibility and Elective Overflow</w:t>
      </w:r>
    </w:p>
    <w:p w14:paraId="262676D8" w14:textId="77777777" w:rsidR="00E255DE" w:rsidRPr="00213A08" w:rsidRDefault="00E255DE" w:rsidP="00E255DE">
      <w:r w:rsidRPr="00213A08">
        <w:t xml:space="preserve">Most institutions cited that accepted GT </w:t>
      </w:r>
      <w:proofErr w:type="gramStart"/>
      <w:r w:rsidRPr="00213A08">
        <w:t>credits</w:t>
      </w:r>
      <w:proofErr w:type="gramEnd"/>
      <w:r w:rsidRPr="00213A08">
        <w:t xml:space="preserve"> failed to apply due to:</w:t>
      </w:r>
    </w:p>
    <w:p w14:paraId="2CA9F63D" w14:textId="77777777" w:rsidR="00E255DE" w:rsidRPr="00213A08" w:rsidRDefault="00E255DE" w:rsidP="00E255DE">
      <w:pPr>
        <w:numPr>
          <w:ilvl w:val="0"/>
          <w:numId w:val="16"/>
        </w:numPr>
      </w:pPr>
      <w:r w:rsidRPr="00213A08">
        <w:t>Degree plan saturation—students already met requirements.</w:t>
      </w:r>
    </w:p>
    <w:p w14:paraId="0F585DBA" w14:textId="77777777" w:rsidR="00E255DE" w:rsidRPr="00213A08" w:rsidRDefault="00E255DE" w:rsidP="00E255DE">
      <w:pPr>
        <w:numPr>
          <w:ilvl w:val="0"/>
          <w:numId w:val="16"/>
        </w:numPr>
      </w:pPr>
      <w:r w:rsidRPr="00213A08">
        <w:t>Elective overflow—extra credits in a completed category (e.g., humanities).</w:t>
      </w:r>
    </w:p>
    <w:p w14:paraId="4C105AB2" w14:textId="77777777" w:rsidR="00E255DE" w:rsidRPr="00213A08" w:rsidRDefault="00E255DE" w:rsidP="00E255DE">
      <w:pPr>
        <w:numPr>
          <w:ilvl w:val="0"/>
          <w:numId w:val="16"/>
        </w:numPr>
      </w:pPr>
      <w:r w:rsidRPr="00213A08">
        <w:t>Highly structured programs—like Degrees with Designation (</w:t>
      </w:r>
      <w:proofErr w:type="spellStart"/>
      <w:r w:rsidRPr="00213A08">
        <w:t>DwDs</w:t>
      </w:r>
      <w:proofErr w:type="spellEnd"/>
      <w:r w:rsidRPr="00213A08">
        <w:t>), which limit flexibility.</w:t>
      </w:r>
    </w:p>
    <w:p w14:paraId="2A744C5C" w14:textId="1945E811" w:rsidR="00E255DE" w:rsidRPr="00213A08" w:rsidRDefault="00E255DE" w:rsidP="00E255DE">
      <w:r w:rsidRPr="00213A08">
        <w:t xml:space="preserve">This pattern was consistent across </w:t>
      </w:r>
      <w:r w:rsidR="00213A08" w:rsidRPr="00213A08">
        <w:t xml:space="preserve">institutions like </w:t>
      </w:r>
      <w:r w:rsidRPr="00213A08">
        <w:t>Aims, CCA, CCD, and CNCC, demonstrating systemic rigidity in degree frameworks.</w:t>
      </w:r>
    </w:p>
    <w:p w14:paraId="72C462CC" w14:textId="77777777" w:rsidR="00E255DE" w:rsidRPr="00E255DE" w:rsidRDefault="00E255DE" w:rsidP="00E255DE"/>
    <w:p w14:paraId="4AA23C43" w14:textId="3F0CB634" w:rsidR="00E255DE" w:rsidRPr="00E255DE" w:rsidRDefault="00E255DE" w:rsidP="00E255DE">
      <w:pPr>
        <w:rPr>
          <w:b/>
          <w:bCs/>
        </w:rPr>
      </w:pPr>
      <w:r w:rsidRPr="00E255DE">
        <w:rPr>
          <w:b/>
          <w:bCs/>
        </w:rPr>
        <w:t>Student Behavior Factors</w:t>
      </w:r>
    </w:p>
    <w:p w14:paraId="4CEEC42F" w14:textId="77777777" w:rsidR="00E255DE" w:rsidRPr="00213A08" w:rsidRDefault="00E255DE" w:rsidP="00E255DE">
      <w:r w:rsidRPr="00213A08">
        <w:t>Several institutions identified issues tied to student behavior:</w:t>
      </w:r>
    </w:p>
    <w:p w14:paraId="7EE923D9" w14:textId="77777777" w:rsidR="00E255DE" w:rsidRPr="00213A08" w:rsidRDefault="00E255DE" w:rsidP="00E255DE">
      <w:pPr>
        <w:numPr>
          <w:ilvl w:val="0"/>
          <w:numId w:val="17"/>
        </w:numPr>
      </w:pPr>
      <w:r w:rsidRPr="00213A08">
        <w:t>Major changes post-transfer evaluation (ACC).</w:t>
      </w:r>
    </w:p>
    <w:p w14:paraId="511147CC" w14:textId="77777777" w:rsidR="00E255DE" w:rsidRPr="00213A08" w:rsidRDefault="00E255DE" w:rsidP="00E255DE">
      <w:pPr>
        <w:numPr>
          <w:ilvl w:val="0"/>
          <w:numId w:val="17"/>
        </w:numPr>
      </w:pPr>
      <w:r w:rsidRPr="00213A08">
        <w:t>Re-taking GT courses at previous institutions (ASU).</w:t>
      </w:r>
    </w:p>
    <w:p w14:paraId="1EFC42A4" w14:textId="77777777" w:rsidR="00E255DE" w:rsidRPr="00213A08" w:rsidRDefault="00E255DE" w:rsidP="00E255DE">
      <w:pPr>
        <w:numPr>
          <w:ilvl w:val="0"/>
          <w:numId w:val="17"/>
        </w:numPr>
      </w:pPr>
      <w:r w:rsidRPr="00213A08">
        <w:t>Undeclared or BAS students whose programs lacked defined pathways (CCA).</w:t>
      </w:r>
    </w:p>
    <w:p w14:paraId="785610DB" w14:textId="77777777" w:rsidR="00E255DE" w:rsidRPr="00E255DE" w:rsidRDefault="00E255DE" w:rsidP="00213A08">
      <w:pPr>
        <w:ind w:left="720"/>
      </w:pPr>
    </w:p>
    <w:p w14:paraId="445B00A4" w14:textId="559406B0" w:rsidR="00E255DE" w:rsidRDefault="00E255DE" w:rsidP="00213A08">
      <w:pPr>
        <w:pStyle w:val="Heading4"/>
      </w:pPr>
      <w:r>
        <w:t>Major Requirements Utilizing Courses within the gtPathways Framework</w:t>
      </w:r>
    </w:p>
    <w:p w14:paraId="711CE736" w14:textId="727433A4" w:rsidR="00BA2FD0" w:rsidRDefault="00E255DE" w:rsidP="00BA2FD0">
      <w:r>
        <w:t>The</w:t>
      </w:r>
      <w:r w:rsidR="00BA2FD0">
        <w:t xml:space="preserve"> General Education Council </w:t>
      </w:r>
      <w:r>
        <w:t xml:space="preserve">also </w:t>
      </w:r>
      <w:r w:rsidR="00BA2FD0">
        <w:t>reviewed</w:t>
      </w:r>
      <w:r w:rsidR="00C847AE">
        <w:t xml:space="preserve"> a selection of</w:t>
      </w:r>
      <w:r w:rsidR="00BA2FD0">
        <w:t xml:space="preserve"> GT Pathways Courses that are </w:t>
      </w:r>
      <w:r w:rsidR="00BA2FD0" w:rsidRPr="004775E9">
        <w:rPr>
          <w:b/>
          <w:bCs/>
        </w:rPr>
        <w:t>embedded within major requirements</w:t>
      </w:r>
      <w:r w:rsidR="00C847AE">
        <w:rPr>
          <w:b/>
          <w:bCs/>
        </w:rPr>
        <w:t xml:space="preserve"> beyond the general education core</w:t>
      </w:r>
      <w:r w:rsidR="00BA2FD0">
        <w:t xml:space="preserve"> across multiple discipline areas. </w:t>
      </w:r>
      <w:r w:rsidR="007B73F9">
        <w:t>Findings confirm that a substantial number of GT Pathways courses are already integrated into degree program requirements for majors such as</w:t>
      </w:r>
      <w:r w:rsidR="008F44DD">
        <w:t xml:space="preserve"> Biology, Criminal Justice, Early Childhood Education, Elementary Education, English, History, Political Science, Psychology, and Communications, among others. </w:t>
      </w:r>
    </w:p>
    <w:p w14:paraId="2B644342" w14:textId="77777777" w:rsidR="00CF1624" w:rsidRDefault="00CF1624" w:rsidP="00BA2FD0"/>
    <w:p w14:paraId="14BFE41E" w14:textId="648B6766" w:rsidR="008F44DD" w:rsidRDefault="008F44DD" w:rsidP="00BA2FD0">
      <w:r>
        <w:t xml:space="preserve">These courses are not taken as </w:t>
      </w:r>
      <w:r w:rsidR="00392BA3">
        <w:t>free</w:t>
      </w:r>
      <w:r>
        <w:t xml:space="preserve"> electives, but rather as required or option</w:t>
      </w:r>
      <w:r w:rsidR="00CF1624">
        <w:t>al major</w:t>
      </w:r>
      <w:r>
        <w:t xml:space="preserve"> course</w:t>
      </w:r>
      <w:r w:rsidR="00CF1624">
        <w:t>s</w:t>
      </w:r>
      <w:r w:rsidR="0011748E">
        <w:t>, ensuring that transfer students receive full credit toward their academic programs</w:t>
      </w:r>
      <w:r w:rsidR="00784746">
        <w:t xml:space="preserve"> when completing a Degree with Designation</w:t>
      </w:r>
      <w:r w:rsidR="0011748E">
        <w:t>.</w:t>
      </w:r>
      <w:r w:rsidR="00784746">
        <w:t xml:space="preserve"> </w:t>
      </w:r>
      <w:r w:rsidR="0011748E">
        <w:t>For example:</w:t>
      </w:r>
    </w:p>
    <w:p w14:paraId="7CD91C3A" w14:textId="694953A9" w:rsidR="0011748E" w:rsidRDefault="005C40CE" w:rsidP="0011748E">
      <w:pPr>
        <w:pStyle w:val="ListParagraph"/>
        <w:numPr>
          <w:ilvl w:val="0"/>
          <w:numId w:val="10"/>
        </w:numPr>
      </w:pPr>
      <w:r>
        <w:t xml:space="preserve">STEM majors </w:t>
      </w:r>
      <w:proofErr w:type="gramStart"/>
      <w:r>
        <w:t>complete</w:t>
      </w:r>
      <w:proofErr w:type="gramEnd"/>
      <w:r>
        <w:t xml:space="preserve"> GT Pathways </w:t>
      </w:r>
      <w:r w:rsidR="008C61A7">
        <w:t xml:space="preserve">prerequisite </w:t>
      </w:r>
      <w:r>
        <w:t xml:space="preserve">science and math courses (e.g. </w:t>
      </w:r>
      <w:r w:rsidR="004875AF">
        <w:t>students following the Biology Statewide Transfer Articulation Agreement (STAA)</w:t>
      </w:r>
      <w:r w:rsidR="00D57AB5">
        <w:t xml:space="preserve"> must complete General Biology I/II (GT-SC1) and General Chemistry I/II (GT-SC1</w:t>
      </w:r>
      <w:r>
        <w:t>)</w:t>
      </w:r>
      <w:r w:rsidR="0070557C">
        <w:t xml:space="preserve"> for a total of 20 credit hours in the same GTP category.</w:t>
      </w:r>
    </w:p>
    <w:p w14:paraId="28AC8058" w14:textId="27DC0480" w:rsidR="00CD5A4B" w:rsidRDefault="00CD5A4B" w:rsidP="0011748E">
      <w:pPr>
        <w:pStyle w:val="ListParagraph"/>
        <w:numPr>
          <w:ilvl w:val="0"/>
          <w:numId w:val="10"/>
        </w:numPr>
      </w:pPr>
      <w:r>
        <w:lastRenderedPageBreak/>
        <w:t>English majors complete five literature courses</w:t>
      </w:r>
      <w:r w:rsidR="00F52749">
        <w:t xml:space="preserve"> [AH2] from a series of options</w:t>
      </w:r>
      <w:r w:rsidR="00C346D7">
        <w:t xml:space="preserve"> to fulfill additional required major coursework.</w:t>
      </w:r>
    </w:p>
    <w:p w14:paraId="3DEF9B58" w14:textId="4458E407" w:rsidR="00A41308" w:rsidRDefault="4813A0CA" w:rsidP="00744547">
      <w:r>
        <w:t>It’s important to note that in cases where students are asked to complete multiple courses aligned with a single GT Pathways category due to major election (e.g., five AH2 courses completed for English majors), the student is best served by securing the additional guarantees for course transfer through earning a Degree with Designation (</w:t>
      </w:r>
      <w:proofErr w:type="spellStart"/>
      <w:r>
        <w:t>DwD</w:t>
      </w:r>
      <w:proofErr w:type="spellEnd"/>
      <w:r>
        <w:t xml:space="preserve">) under a Statewide Transfer Articulation Agreement. In cases where a student might not complete the initial two-year degree before transfer, or </w:t>
      </w:r>
      <w:proofErr w:type="gramStart"/>
      <w:r>
        <w:t>changes</w:t>
      </w:r>
      <w:proofErr w:type="gramEnd"/>
      <w:r>
        <w:t xml:space="preserve"> majors entirely, they may be asked to complete additional coursework and encounter a risk of exhausting all available free electives through such circumstances.</w:t>
      </w:r>
    </w:p>
    <w:p w14:paraId="1F07541F" w14:textId="2D2BEA03" w:rsidR="00B71B9E" w:rsidRDefault="00592536" w:rsidP="00592536">
      <w:pPr>
        <w:pStyle w:val="Heading3"/>
        <w:numPr>
          <w:ilvl w:val="0"/>
          <w:numId w:val="12"/>
        </w:numPr>
      </w:pPr>
      <w:r>
        <w:t>Credit Hour Misalignment Across Institutions for GT Pathways Courses</w:t>
      </w:r>
    </w:p>
    <w:p w14:paraId="1950892B" w14:textId="42468839" w:rsidR="006E32E0" w:rsidRDefault="008B10C9" w:rsidP="006E32E0">
      <w:r>
        <w:t>Department staff provided the Council with a report of the courses across the GT Pathways categories with differing credit hour designations among institutions.</w:t>
      </w:r>
      <w:r w:rsidR="00E377F1">
        <w:t xml:space="preserve">  Examples included:</w:t>
      </w:r>
    </w:p>
    <w:p w14:paraId="6AB7BA3F" w14:textId="18F3506F" w:rsidR="005465B3" w:rsidRDefault="00E377F1" w:rsidP="005522C3">
      <w:pPr>
        <w:pStyle w:val="ListParagraph"/>
        <w:numPr>
          <w:ilvl w:val="0"/>
          <w:numId w:val="11"/>
        </w:numPr>
      </w:pPr>
      <w:r w:rsidRPr="004775E9">
        <w:rPr>
          <w:b/>
          <w:bCs/>
        </w:rPr>
        <w:t>World Languages</w:t>
      </w:r>
      <w:r w:rsidR="004775E9">
        <w:rPr>
          <w:b/>
          <w:bCs/>
        </w:rPr>
        <w:t xml:space="preserve"> </w:t>
      </w:r>
      <w:r w:rsidR="4813A0CA" w:rsidRPr="004775E9">
        <w:rPr>
          <w:b/>
          <w:bCs/>
        </w:rPr>
        <w:t>Beginning Languages (5 credit hours)</w:t>
      </w:r>
      <w:r w:rsidR="4813A0CA">
        <w:t xml:space="preserve"> – Prior to this report, there was variation among world language courses between Colorado community colleges and four-year institutions. Faculty from this discipline willingly coordinated in 2025 to align the credit hours for Spanish, French, and German world language course sequences among Colorado institutions, adhering to the following designation. </w:t>
      </w:r>
    </w:p>
    <w:tbl>
      <w:tblPr>
        <w:tblStyle w:val="ListTable4-Accent2"/>
        <w:tblW w:w="0" w:type="auto"/>
        <w:tblInd w:w="756" w:type="dxa"/>
        <w:tblLook w:val="04A0" w:firstRow="1" w:lastRow="0" w:firstColumn="1" w:lastColumn="0" w:noHBand="0" w:noVBand="1"/>
        <w:tblCaption w:val="Table"/>
      </w:tblPr>
      <w:tblGrid>
        <w:gridCol w:w="5206"/>
        <w:gridCol w:w="1465"/>
      </w:tblGrid>
      <w:tr w:rsidR="00C43A94" w:rsidRPr="00D62E0E" w14:paraId="544F70E2" w14:textId="77777777" w:rsidTr="00E641D9">
        <w:trPr>
          <w:cnfStyle w:val="100000000000" w:firstRow="1" w:lastRow="0" w:firstColumn="0" w:lastColumn="0" w:oddVBand="0" w:evenVBand="0" w:oddHBand="0" w:evenHBand="0" w:firstRowFirstColumn="0" w:firstRowLastColumn="0" w:lastRowFirstColumn="0" w:lastRowLastColumn="0"/>
          <w:trHeight w:val="54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1970" w:themeFill="accent1"/>
          </w:tcPr>
          <w:p w14:paraId="635BFCB3" w14:textId="0D8EF419" w:rsidR="00C43A94" w:rsidRPr="00D62E0E" w:rsidRDefault="004775E9" w:rsidP="002167E6">
            <w:pPr>
              <w:jc w:val="left"/>
              <w:rPr>
                <w:rFonts w:ascii="Calibri" w:hAnsi="Calibri" w:cs="Calibri"/>
                <w:color w:val="FFFFFF" w:themeColor="background1"/>
              </w:rPr>
            </w:pPr>
            <w:r>
              <w:rPr>
                <w:rFonts w:ascii="Calibri" w:hAnsi="Calibri" w:cs="Calibri"/>
                <w:color w:val="FFFFFF" w:themeColor="background1"/>
              </w:rPr>
              <w:t>Course</w:t>
            </w:r>
          </w:p>
        </w:tc>
        <w:tc>
          <w:tcPr>
            <w:tcW w:w="0" w:type="auto"/>
            <w:shd w:val="clear" w:color="auto" w:fill="001970" w:themeFill="accent1"/>
          </w:tcPr>
          <w:p w14:paraId="5AFA5410" w14:textId="17AD4D2F" w:rsidR="00C43A94" w:rsidRPr="00D62E0E" w:rsidRDefault="00C43A94" w:rsidP="002167E6">
            <w:pPr>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Pr>
                <w:rFonts w:ascii="Calibri" w:hAnsi="Calibri" w:cs="Calibri"/>
                <w:color w:val="FFFFFF" w:themeColor="background1"/>
              </w:rPr>
              <w:t>Credit Hours</w:t>
            </w:r>
          </w:p>
        </w:tc>
      </w:tr>
      <w:tr w:rsidR="00C43A94" w:rsidRPr="00D62E0E" w14:paraId="3CE44CF0" w14:textId="77777777" w:rsidTr="00E64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AA8192" w14:textId="4D6EDE26" w:rsidR="00C43A94" w:rsidRPr="00D62E0E" w:rsidRDefault="004775E9" w:rsidP="002167E6">
            <w:pPr>
              <w:rPr>
                <w:rFonts w:ascii="Calibri" w:hAnsi="Calibri" w:cs="Calibri"/>
              </w:rPr>
            </w:pPr>
            <w:r>
              <w:rPr>
                <w:rFonts w:ascii="Calibri" w:hAnsi="Calibri" w:cs="Calibri"/>
              </w:rPr>
              <w:t>Beginning French/German/Spanish Semester I</w:t>
            </w:r>
          </w:p>
        </w:tc>
        <w:tc>
          <w:tcPr>
            <w:tcW w:w="0" w:type="auto"/>
          </w:tcPr>
          <w:p w14:paraId="56396DFE" w14:textId="340E0889" w:rsidR="00C43A94" w:rsidRPr="00D62E0E" w:rsidRDefault="4813A0CA" w:rsidP="002167E6">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4813A0CA">
              <w:rPr>
                <w:rFonts w:ascii="Calibri" w:hAnsi="Calibri" w:cs="Calibri"/>
              </w:rPr>
              <w:t>4</w:t>
            </w:r>
          </w:p>
        </w:tc>
      </w:tr>
      <w:tr w:rsidR="00C43A94" w:rsidRPr="00D62E0E" w14:paraId="6219E8B0" w14:textId="77777777" w:rsidTr="00E641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686742" w14:textId="09482259" w:rsidR="00C43A94" w:rsidRPr="00D62E0E" w:rsidRDefault="004775E9" w:rsidP="002167E6">
            <w:pPr>
              <w:rPr>
                <w:rFonts w:ascii="Calibri" w:hAnsi="Calibri" w:cs="Calibri"/>
              </w:rPr>
            </w:pPr>
            <w:r>
              <w:rPr>
                <w:rFonts w:ascii="Calibri" w:hAnsi="Calibri" w:cs="Calibri"/>
              </w:rPr>
              <w:t>Beginning French/German/Spanish Semester II</w:t>
            </w:r>
          </w:p>
        </w:tc>
        <w:tc>
          <w:tcPr>
            <w:tcW w:w="0" w:type="auto"/>
          </w:tcPr>
          <w:p w14:paraId="494E212C" w14:textId="62F3A64A" w:rsidR="00C43A94" w:rsidRPr="00D62E0E" w:rsidRDefault="4813A0CA" w:rsidP="002167E6">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4813A0CA">
              <w:rPr>
                <w:rFonts w:ascii="Calibri" w:hAnsi="Calibri" w:cs="Calibri"/>
              </w:rPr>
              <w:t>4</w:t>
            </w:r>
          </w:p>
        </w:tc>
      </w:tr>
      <w:tr w:rsidR="00C43A94" w:rsidRPr="00D62E0E" w14:paraId="6B7937D6" w14:textId="77777777" w:rsidTr="00E64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00921D" w14:textId="48836F14" w:rsidR="00C43A94" w:rsidRPr="00D62E0E" w:rsidRDefault="004775E9" w:rsidP="002167E6">
            <w:pPr>
              <w:rPr>
                <w:rFonts w:ascii="Calibri" w:hAnsi="Calibri" w:cs="Calibri"/>
              </w:rPr>
            </w:pPr>
            <w:r>
              <w:rPr>
                <w:rFonts w:ascii="Calibri" w:hAnsi="Calibri" w:cs="Calibri"/>
              </w:rPr>
              <w:t>Intermediate French/German/Spanish Semester I</w:t>
            </w:r>
          </w:p>
        </w:tc>
        <w:tc>
          <w:tcPr>
            <w:tcW w:w="0" w:type="auto"/>
          </w:tcPr>
          <w:p w14:paraId="0BF224C6" w14:textId="137D7733" w:rsidR="00C43A94" w:rsidRPr="00D62E0E" w:rsidRDefault="4813A0CA" w:rsidP="002167E6">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4813A0CA">
              <w:rPr>
                <w:rFonts w:ascii="Calibri" w:hAnsi="Calibri" w:cs="Calibri"/>
              </w:rPr>
              <w:t>3</w:t>
            </w:r>
          </w:p>
        </w:tc>
      </w:tr>
      <w:tr w:rsidR="00C43A94" w:rsidRPr="00D62E0E" w14:paraId="75BF80A5" w14:textId="77777777" w:rsidTr="00E641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60065A" w14:textId="188468FA" w:rsidR="00C43A94" w:rsidRPr="00D62E0E" w:rsidRDefault="004775E9" w:rsidP="002167E6">
            <w:pPr>
              <w:rPr>
                <w:rFonts w:ascii="Calibri" w:hAnsi="Calibri" w:cs="Calibri"/>
              </w:rPr>
            </w:pPr>
            <w:r>
              <w:rPr>
                <w:rFonts w:ascii="Calibri" w:hAnsi="Calibri" w:cs="Calibri"/>
              </w:rPr>
              <w:t>Intermediate French/German/Spanish Semester II</w:t>
            </w:r>
          </w:p>
        </w:tc>
        <w:tc>
          <w:tcPr>
            <w:tcW w:w="0" w:type="auto"/>
          </w:tcPr>
          <w:p w14:paraId="12E07D0B" w14:textId="4751499A" w:rsidR="00C43A94" w:rsidRPr="00D62E0E" w:rsidRDefault="4813A0CA" w:rsidP="002167E6">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4813A0CA">
              <w:rPr>
                <w:rFonts w:ascii="Calibri" w:hAnsi="Calibri" w:cs="Calibri"/>
              </w:rPr>
              <w:t>3</w:t>
            </w:r>
          </w:p>
        </w:tc>
      </w:tr>
    </w:tbl>
    <w:p w14:paraId="1F094AEB" w14:textId="06F36F58" w:rsidR="00C43A94" w:rsidRDefault="4813A0CA" w:rsidP="004775E9">
      <w:pPr>
        <w:pStyle w:val="ListParagraph"/>
      </w:pPr>
      <w:r>
        <w:t>As of this writing, Chinese, Japanese, and Russian will remain at five credit hours. The new four credit sequences will be available Fall 2026.</w:t>
      </w:r>
    </w:p>
    <w:p w14:paraId="7FCD582B" w14:textId="56964ACD" w:rsidR="00C8253B" w:rsidRPr="00C8253B" w:rsidRDefault="00C8253B" w:rsidP="00C8253B">
      <w:pPr>
        <w:pStyle w:val="ListParagraph"/>
        <w:numPr>
          <w:ilvl w:val="0"/>
          <w:numId w:val="11"/>
        </w:numPr>
        <w:rPr>
          <w:b/>
          <w:bCs/>
        </w:rPr>
      </w:pPr>
      <w:r w:rsidRPr="00C8253B">
        <w:rPr>
          <w:b/>
          <w:bCs/>
        </w:rPr>
        <w:t>Mathematics</w:t>
      </w:r>
    </w:p>
    <w:p w14:paraId="0F7AABF1" w14:textId="66F84076" w:rsidR="00233DD7" w:rsidRPr="00233DD7" w:rsidRDefault="006C6E6F" w:rsidP="00233DD7">
      <w:pPr>
        <w:ind w:left="720"/>
      </w:pPr>
      <w:r>
        <w:t>The Council notes i</w:t>
      </w:r>
      <w:r w:rsidR="00654341">
        <w:t xml:space="preserve">n cases where a course is accepted as equivalent, but differs in credit hours, the learner’s earned credit hours from the sending institution are honored by the receiving institution. </w:t>
      </w:r>
      <w:r>
        <w:t>With</w:t>
      </w:r>
      <w:r w:rsidR="00597FC2" w:rsidRPr="00597FC2">
        <w:t xml:space="preserve"> the passage of HB19-1206 to move away from traditional, standalone developmental education (remedial) courses, there may be issues with efforts to standardize credit hours among mathematics courses across institutions due to </w:t>
      </w:r>
      <w:r w:rsidR="005E2C77">
        <w:t xml:space="preserve">varying </w:t>
      </w:r>
      <w:r w:rsidR="00597FC2" w:rsidRPr="00597FC2">
        <w:t>supplemental academic instruction</w:t>
      </w:r>
      <w:r w:rsidR="005E2C77">
        <w:t xml:space="preserve"> models</w:t>
      </w:r>
      <w:r w:rsidR="00597FC2" w:rsidRPr="00597FC2">
        <w:t xml:space="preserve">. </w:t>
      </w:r>
      <w:r w:rsidR="00597FC2" w:rsidRPr="00597FC2">
        <w:lastRenderedPageBreak/>
        <w:t>This flexibility is a core component of the bill's design to improve student success.</w:t>
      </w:r>
      <w:r w:rsidR="005E2C77">
        <w:t xml:space="preserve"> This results in variations across </w:t>
      </w:r>
      <w:r w:rsidR="00917135">
        <w:t xml:space="preserve">certain gateway math </w:t>
      </w:r>
      <w:r w:rsidR="005E2C77">
        <w:t>courses such as:</w:t>
      </w:r>
    </w:p>
    <w:p w14:paraId="4205FCFB" w14:textId="071432AD" w:rsidR="00231091" w:rsidRDefault="00231091" w:rsidP="00231091">
      <w:pPr>
        <w:pStyle w:val="ListParagraph"/>
        <w:numPr>
          <w:ilvl w:val="1"/>
          <w:numId w:val="11"/>
        </w:numPr>
      </w:pPr>
      <w:r w:rsidRPr="0009492A">
        <w:rPr>
          <w:b/>
          <w:bCs/>
        </w:rPr>
        <w:t>Math for the Liberal Arts</w:t>
      </w:r>
      <w:r w:rsidR="005465B3" w:rsidRPr="0009492A">
        <w:rPr>
          <w:b/>
          <w:bCs/>
        </w:rPr>
        <w:t xml:space="preserve"> (3-4 credit hours)</w:t>
      </w:r>
      <w:r w:rsidR="00297F49">
        <w:t xml:space="preserve"> – This course is </w:t>
      </w:r>
      <w:r w:rsidR="00FC20F6">
        <w:t xml:space="preserve">assigned four credit hours among Colorado </w:t>
      </w:r>
      <w:r w:rsidR="00E641D9">
        <w:t>community colleges</w:t>
      </w:r>
      <w:r w:rsidR="00506165">
        <w:t xml:space="preserve"> but</w:t>
      </w:r>
      <w:r w:rsidR="00FC20F6">
        <w:t xml:space="preserve"> is assigned three credit hours at the offering four-year institutions.</w:t>
      </w:r>
    </w:p>
    <w:p w14:paraId="50880B06" w14:textId="28F0D37C" w:rsidR="009D7067" w:rsidRDefault="005465B3" w:rsidP="009D7067">
      <w:pPr>
        <w:pStyle w:val="ListParagraph"/>
        <w:numPr>
          <w:ilvl w:val="1"/>
          <w:numId w:val="11"/>
        </w:numPr>
      </w:pPr>
      <w:r w:rsidRPr="0009492A">
        <w:rPr>
          <w:b/>
          <w:bCs/>
        </w:rPr>
        <w:t>College Algebra (</w:t>
      </w:r>
      <w:r w:rsidR="00A728C4" w:rsidRPr="0009492A">
        <w:rPr>
          <w:b/>
          <w:bCs/>
        </w:rPr>
        <w:t>1</w:t>
      </w:r>
      <w:r w:rsidR="00FA7254" w:rsidRPr="0009492A">
        <w:rPr>
          <w:b/>
          <w:bCs/>
        </w:rPr>
        <w:t>-4 credit hours)</w:t>
      </w:r>
      <w:r w:rsidR="009D7067">
        <w:t xml:space="preserve"> – This course is traditionally assigned three credit hours, but variations included</w:t>
      </w:r>
      <w:r w:rsidR="00CA254B">
        <w:t xml:space="preserve"> Colorado State University’s offering of one credit, stackable courses which students can take in sequence (e.g. College Algebra in Context I, II</w:t>
      </w:r>
      <w:r w:rsidR="00CF71FB">
        <w:t xml:space="preserve"> at Colorado State University</w:t>
      </w:r>
      <w:r w:rsidR="00CA254B">
        <w:t>)</w:t>
      </w:r>
      <w:r w:rsidR="00F32FEE">
        <w:t xml:space="preserve">. Courses which were assigned four credit hours included supplemental </w:t>
      </w:r>
      <w:r w:rsidR="00F14E66">
        <w:t xml:space="preserve">or </w:t>
      </w:r>
      <w:r w:rsidR="00B37D91">
        <w:t>enhanced</w:t>
      </w:r>
      <w:r w:rsidR="00F14E66">
        <w:t xml:space="preserve"> instructional components (e.g. </w:t>
      </w:r>
      <w:r w:rsidR="00CF71FB">
        <w:t>Algebra for Calculus with SAI</w:t>
      </w:r>
      <w:r w:rsidR="00B37D91">
        <w:t xml:space="preserve"> at Ft. Lewis College</w:t>
      </w:r>
      <w:r w:rsidR="00CF71FB">
        <w:t>)</w:t>
      </w:r>
      <w:r w:rsidR="00297F49">
        <w:t xml:space="preserve">. Many institutions offer multiple versions of the course to meet specific student </w:t>
      </w:r>
      <w:r w:rsidR="0083122F">
        <w:t>needs</w:t>
      </w:r>
      <w:r w:rsidR="00297F49">
        <w:t>.</w:t>
      </w:r>
    </w:p>
    <w:p w14:paraId="0D1D6BCB" w14:textId="720AFEC1" w:rsidR="00D53A42" w:rsidRDefault="00D53A42" w:rsidP="00231091">
      <w:pPr>
        <w:pStyle w:val="ListParagraph"/>
        <w:numPr>
          <w:ilvl w:val="1"/>
          <w:numId w:val="11"/>
        </w:numPr>
      </w:pPr>
      <w:r w:rsidRPr="0009492A">
        <w:rPr>
          <w:b/>
          <w:bCs/>
        </w:rPr>
        <w:t>Pre-Calculus (3-5 credit hours)</w:t>
      </w:r>
      <w:r w:rsidR="008C7BD4">
        <w:t xml:space="preserve"> – </w:t>
      </w:r>
      <w:r w:rsidR="00946E71">
        <w:t>This course is most commonly assigned four credit hours, but variations included Colorado Mesa University’s offering students the option to complete the course in one or two sequences</w:t>
      </w:r>
      <w:r w:rsidR="00FF28BF">
        <w:t xml:space="preserve"> (i.e., </w:t>
      </w:r>
      <w:r w:rsidR="00AD43A5">
        <w:t xml:space="preserve">Precalculus Mathematics [5 hours] or </w:t>
      </w:r>
      <w:r w:rsidR="00EB184C">
        <w:t>College Algebra for Calculus</w:t>
      </w:r>
      <w:r w:rsidR="0082764E">
        <w:t xml:space="preserve"> and Trigonometry for Calculus</w:t>
      </w:r>
      <w:r w:rsidR="00EB184C">
        <w:t xml:space="preserve"> </w:t>
      </w:r>
      <w:r w:rsidR="00946E71">
        <w:t xml:space="preserve">, </w:t>
      </w:r>
      <w:r w:rsidR="00FF28BF">
        <w:t>focusing either simultaneously</w:t>
      </w:r>
      <w:r w:rsidR="00AC7192">
        <w:t xml:space="preserve"> in five credit hours</w:t>
      </w:r>
      <w:r w:rsidR="00FF28BF">
        <w:t xml:space="preserve"> or separately </w:t>
      </w:r>
      <w:r w:rsidR="00AC7192">
        <w:t xml:space="preserve">in 8 credit hours </w:t>
      </w:r>
      <w:r w:rsidR="00FF28BF">
        <w:t>on algebra and trigonometry</w:t>
      </w:r>
      <w:r w:rsidR="00AC7192">
        <w:t xml:space="preserve">) </w:t>
      </w:r>
      <w:r w:rsidR="00877FE2">
        <w:t>as best suits their needs.</w:t>
      </w:r>
    </w:p>
    <w:p w14:paraId="373ACEA6" w14:textId="1D44DA01" w:rsidR="00233DD7" w:rsidRPr="00233DD7" w:rsidRDefault="00233DD7" w:rsidP="00233DD7">
      <w:pPr>
        <w:ind w:left="1080"/>
      </w:pPr>
    </w:p>
    <w:p w14:paraId="0DEFE1F4" w14:textId="59CCFF54" w:rsidR="00EF3A3C" w:rsidRDefault="00EF3A3C">
      <w:pPr>
        <w:spacing w:after="200" w:line="276" w:lineRule="auto"/>
      </w:pPr>
      <w:r>
        <w:br w:type="page"/>
      </w:r>
    </w:p>
    <w:p w14:paraId="46BBF8CD" w14:textId="607344BF" w:rsidR="00D81504" w:rsidRDefault="00CC7C41" w:rsidP="00A6561C">
      <w:pPr>
        <w:pStyle w:val="Heading2"/>
      </w:pPr>
      <w:r>
        <w:rPr>
          <w:noProof/>
        </w:rPr>
        <w:lastRenderedPageBreak/>
        <mc:AlternateContent>
          <mc:Choice Requires="wpg">
            <w:drawing>
              <wp:anchor distT="0" distB="0" distL="114300" distR="114300" simplePos="0" relativeHeight="251658240" behindDoc="0" locked="0" layoutInCell="1" allowOverlap="1" wp14:anchorId="66480329" wp14:editId="6D07BB3D">
                <wp:simplePos x="0" y="0"/>
                <wp:positionH relativeFrom="margin">
                  <wp:posOffset>-575945</wp:posOffset>
                </wp:positionH>
                <wp:positionV relativeFrom="margin">
                  <wp:posOffset>8089265</wp:posOffset>
                </wp:positionV>
                <wp:extent cx="7811770" cy="1463040"/>
                <wp:effectExtent l="0" t="0" r="0" b="0"/>
                <wp:wrapSquare wrapText="bothSides"/>
                <wp:docPr id="725823945" name="Group 2" descr="For more information visit https://cdhe.colorado.gov&#10;&#10;CDHE Address and Phone&#10;1600 Broadway, Suite 2200&#10;Denver, CO 80202&#10;(303) 862-3001&#10;&#10;"/>
                <wp:cNvGraphicFramePr/>
                <a:graphic xmlns:a="http://schemas.openxmlformats.org/drawingml/2006/main">
                  <a:graphicData uri="http://schemas.microsoft.com/office/word/2010/wordprocessingGroup">
                    <wpg:wgp>
                      <wpg:cNvGrpSpPr/>
                      <wpg:grpSpPr>
                        <a:xfrm>
                          <a:off x="0" y="0"/>
                          <a:ext cx="7811770" cy="1463040"/>
                          <a:chOff x="0" y="0"/>
                          <a:chExt cx="7812156" cy="1463040"/>
                        </a:xfrm>
                      </wpg:grpSpPr>
                      <wps:wsp>
                        <wps:cNvPr id="575910444" name="Rectangle 1">
                          <a:extLst>
                            <a:ext uri="{C183D7F6-B498-43B3-948B-1728B52AA6E4}">
                              <adec:decorative xmlns:adec="http://schemas.microsoft.com/office/drawing/2017/decorative" val="1"/>
                            </a:ext>
                          </a:extLst>
                        </wps:cNvPr>
                        <wps:cNvSpPr/>
                        <wps:spPr>
                          <a:xfrm>
                            <a:off x="0" y="0"/>
                            <a:ext cx="7812156" cy="1463040"/>
                          </a:xfrm>
                          <a:prstGeom prst="rect">
                            <a:avLst/>
                          </a:prstGeom>
                          <a:solidFill>
                            <a:srgbClr val="5C66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079766" name="Text Box 2" descr="Visit https://cdhe.colorado.gov for more information"/>
                        <wps:cNvSpPr txBox="1"/>
                        <wps:spPr>
                          <a:xfrm>
                            <a:off x="331303" y="214445"/>
                            <a:ext cx="4843624" cy="967105"/>
                          </a:xfrm>
                          <a:prstGeom prst="rect">
                            <a:avLst/>
                          </a:prstGeom>
                          <a:noFill/>
                          <a:ln w="6350">
                            <a:noFill/>
                          </a:ln>
                        </wps:spPr>
                        <wps:txbx>
                          <w:txbxContent>
                            <w:p w14:paraId="28CEEE81" w14:textId="77777777" w:rsidR="00CC7C41" w:rsidRPr="00D81504" w:rsidRDefault="00CC7C41" w:rsidP="00CC7C41">
                              <w:pPr>
                                <w:rPr>
                                  <w:rFonts w:ascii="Museo Slab 500" w:eastAsiaTheme="minorHAnsi" w:hAnsi="Museo Slab 500" w:cs="Helvetica-Bold"/>
                                  <w:b/>
                                  <w:bCs/>
                                  <w:color w:val="FFFFFF" w:themeColor="background1"/>
                                  <w:sz w:val="28"/>
                                  <w:szCs w:val="28"/>
                                </w:rPr>
                              </w:pPr>
                              <w:r w:rsidRPr="00D81504">
                                <w:rPr>
                                  <w:rFonts w:ascii="Museo Slab 500" w:eastAsiaTheme="minorHAnsi" w:hAnsi="Museo Slab 500" w:cs="MuseoSlab-500"/>
                                  <w:color w:val="FFFFFF" w:themeColor="background1"/>
                                  <w:sz w:val="28"/>
                                  <w:szCs w:val="28"/>
                                  <w14:textOutline w14:w="9525" w14:cap="flat" w14:cmpd="sng" w14:algn="ctr">
                                    <w14:noFill/>
                                    <w14:prstDash w14:val="solid"/>
                                    <w14:round/>
                                  </w14:textOutline>
                                </w:rPr>
                                <w:t>For More Information</w:t>
                              </w:r>
                              <w:r>
                                <w:rPr>
                                  <w:rFonts w:ascii="Museo Slab 500" w:eastAsiaTheme="minorHAnsi" w:hAnsi="Museo Slab 500" w:cs="Helvetica-Bold"/>
                                  <w:b/>
                                  <w:bCs/>
                                  <w:color w:val="FFFFFF" w:themeColor="background1"/>
                                  <w:sz w:val="28"/>
                                  <w:szCs w:val="28"/>
                                </w:rPr>
                                <w:br/>
                              </w:r>
                              <w:r w:rsidRPr="006F742F">
                                <w:rPr>
                                  <w:rFonts w:ascii="Trebuchet MS" w:eastAsiaTheme="minorHAnsi" w:hAnsi="Trebuchet MS" w:cs="TrebuchetMS-Bold"/>
                                  <w:b/>
                                  <w:bCs/>
                                  <w:color w:val="FFFFFF" w:themeColor="background1"/>
                                  <w:sz w:val="20"/>
                                  <w:szCs w:val="20"/>
                                  <w14:textOutline w14:w="9525" w14:cap="flat" w14:cmpd="sng" w14:algn="ctr">
                                    <w14:noFill/>
                                    <w14:prstDash w14:val="solid"/>
                                    <w14:round/>
                                  </w14:textOutline>
                                </w:rPr>
                                <w:t>Colorado Department of Higher Education</w:t>
                              </w:r>
                              <w:r w:rsidRPr="006F742F">
                                <w:rPr>
                                  <w:rFonts w:ascii="HelveticaNeue" w:eastAsiaTheme="minorHAnsi" w:hAnsi="HelveticaNeue" w:cs="HelveticaNeue"/>
                                  <w:color w:val="FFFFFF" w:themeColor="background1"/>
                                  <w:sz w:val="20"/>
                                  <w:szCs w:val="20"/>
                                  <w14:textOutline w14:w="9525" w14:cap="flat" w14:cmpd="sng" w14:algn="ctr">
                                    <w14:noFill/>
                                    <w14:prstDash w14:val="solid"/>
                                    <w14:round/>
                                  </w14:textOutline>
                                </w:rPr>
                                <w:t xml:space="preserve"> </w:t>
                              </w:r>
                              <w:hyperlink r:id="rId13" w:tooltip="Original URL: https://cdhe.colorado.gov/  Click to follow link." w:history="1">
                                <w:r w:rsidRPr="006F742F">
                                  <w:rPr>
                                    <w:rFonts w:ascii="HelveticaNeue" w:eastAsiaTheme="minorHAnsi" w:hAnsi="HelveticaNeue" w:cs="HelveticaNeue"/>
                                    <w:color w:val="FFFFFF" w:themeColor="background1"/>
                                    <w:sz w:val="20"/>
                                    <w:szCs w:val="20"/>
                                    <w14:textOutline w14:w="9525" w14:cap="flat" w14:cmpd="sng" w14:algn="ctr">
                                      <w14:noFill/>
                                      <w14:prstDash w14:val="solid"/>
                                      <w14:round/>
                                    </w14:textOutline>
                                  </w:rPr>
                                  <w:t>https://cdhe.colorado.gov/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2608802" name="Straight Connector 3">
                          <a:extLst>
                            <a:ext uri="{C183D7F6-B498-43B3-948B-1728B52AA6E4}">
                              <adec:decorative xmlns:adec="http://schemas.microsoft.com/office/drawing/2017/decorative" val="1"/>
                            </a:ext>
                          </a:extLst>
                        </wps:cNvPr>
                        <wps:cNvCnPr/>
                        <wps:spPr>
                          <a:xfrm>
                            <a:off x="5294243" y="205409"/>
                            <a:ext cx="0" cy="945515"/>
                          </a:xfrm>
                          <a:prstGeom prst="line">
                            <a:avLst/>
                          </a:prstGeom>
                          <a:ln w="63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46049838" name="Text Box 4" descr="CDHE Address and Phone&#10;1600 Broadway, Suite 2200&#10;Denver, CO 80202&#10;(303) 862-3001&#10;"/>
                        <wps:cNvSpPr txBox="1"/>
                        <wps:spPr>
                          <a:xfrm>
                            <a:off x="5400261" y="205409"/>
                            <a:ext cx="2080260" cy="945515"/>
                          </a:xfrm>
                          <a:prstGeom prst="rect">
                            <a:avLst/>
                          </a:prstGeom>
                          <a:noFill/>
                          <a:ln w="6350">
                            <a:noFill/>
                          </a:ln>
                        </wps:spPr>
                        <wps:txbx>
                          <w:txbxContent>
                            <w:p w14:paraId="1E3D462E" w14:textId="77777777" w:rsidR="00CC7C41" w:rsidRPr="00385275" w:rsidRDefault="00CC7C41" w:rsidP="00CC7C41">
                              <w:pPr>
                                <w:pStyle w:val="BasicParagraph"/>
                                <w:rPr>
                                  <w:color w:val="FFFFFF" w:themeColor="background1"/>
                                  <w:sz w:val="20"/>
                                  <w:szCs w:val="20"/>
                                </w:rPr>
                              </w:pPr>
                              <w:r w:rsidRPr="00385275">
                                <w:rPr>
                                  <w:color w:val="FFFFFF" w:themeColor="background1"/>
                                  <w:sz w:val="20"/>
                                  <w:szCs w:val="20"/>
                                </w:rPr>
                                <w:t>1600 Broadway, Suite 2200</w:t>
                              </w:r>
                            </w:p>
                            <w:p w14:paraId="2FBA0238" w14:textId="77777777" w:rsidR="00CC7C41" w:rsidRPr="00385275" w:rsidRDefault="00CC7C41" w:rsidP="00CC7C41">
                              <w:pPr>
                                <w:rPr>
                                  <w:color w:val="FFFFFF" w:themeColor="background1"/>
                                  <w:sz w:val="20"/>
                                  <w:szCs w:val="20"/>
                                </w:rPr>
                              </w:pPr>
                              <w:r w:rsidRPr="00385275">
                                <w:rPr>
                                  <w:color w:val="FFFFFF" w:themeColor="background1"/>
                                  <w:sz w:val="20"/>
                                  <w:szCs w:val="20"/>
                                </w:rPr>
                                <w:t>Denver, CO 80202</w:t>
                              </w:r>
                            </w:p>
                            <w:p w14:paraId="0DF3D7F8" w14:textId="77777777" w:rsidR="00CC7C41" w:rsidRPr="00385275" w:rsidRDefault="00CC7C41" w:rsidP="00CC7C41">
                              <w:pPr>
                                <w:rPr>
                                  <w:color w:val="FFFFFF" w:themeColor="background1"/>
                                  <w:sz w:val="20"/>
                                  <w:szCs w:val="20"/>
                                </w:rPr>
                              </w:pPr>
                            </w:p>
                            <w:p w14:paraId="5EB0EC5B" w14:textId="77777777" w:rsidR="00CC7C41" w:rsidRPr="00385275" w:rsidRDefault="00CC7C41" w:rsidP="00CC7C41">
                              <w:pPr>
                                <w:pStyle w:val="BasicParagraph"/>
                                <w:rPr>
                                  <w:color w:val="FFFFFF" w:themeColor="background1"/>
                                  <w:sz w:val="20"/>
                                  <w:szCs w:val="20"/>
                                </w:rPr>
                              </w:pPr>
                              <w:r w:rsidRPr="00385275">
                                <w:rPr>
                                  <w:color w:val="FFFFFF" w:themeColor="background1"/>
                                  <w:sz w:val="20"/>
                                  <w:szCs w:val="20"/>
                                </w:rPr>
                                <w:t>(303) 862-3001</w:t>
                              </w:r>
                            </w:p>
                            <w:p w14:paraId="44683FCB" w14:textId="77777777" w:rsidR="00CC7C41" w:rsidRPr="00385275" w:rsidRDefault="00CC7C41" w:rsidP="00CC7C41">
                              <w:pP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91112312" name="Picture 1">
                            <a:extLst>
                              <a:ext uri="{C183D7F6-B498-43B3-948B-1728B52AA6E4}">
                                <adec:decorative xmlns:adec="http://schemas.microsoft.com/office/drawing/2017/decorative" val="1"/>
                              </a:ext>
                            </a:extLst>
                          </pic:cNvPr>
                          <pic:cNvPicPr>
                            <a:picLocks noChangeAspect="1"/>
                          </pic:cNvPicPr>
                        </pic:nvPicPr>
                        <pic:blipFill>
                          <a:blip r:embed="rId14" cstate="print">
                            <a:alphaModFix amt="50000"/>
                            <a:extLst>
                              <a:ext uri="{28A0092B-C50C-407E-A947-70E740481C1C}">
                                <a14:useLocalDpi xmlns:a14="http://schemas.microsoft.com/office/drawing/2010/main" val="0"/>
                              </a:ext>
                            </a:extLst>
                          </a:blip>
                          <a:stretch>
                            <a:fillRect/>
                          </a:stretch>
                        </pic:blipFill>
                        <pic:spPr>
                          <a:xfrm>
                            <a:off x="6586330" y="801757"/>
                            <a:ext cx="909320" cy="472440"/>
                          </a:xfrm>
                          <a:prstGeom prst="rect">
                            <a:avLst/>
                          </a:prstGeom>
                        </pic:spPr>
                      </pic:pic>
                    </wpg:wgp>
                  </a:graphicData>
                </a:graphic>
              </wp:anchor>
            </w:drawing>
          </mc:Choice>
          <mc:Fallback>
            <w:pict>
              <v:group w14:anchorId="66480329" id="Group 2" o:spid="_x0000_s1026" alt="For more information visit https://cdhe.colorado.gov&#10;&#10;CDHE Address and Phone&#10;1600 Broadway, Suite 2200&#10;Denver, CO 80202&#10;(303) 862-3001&#10;&#10;" style="position:absolute;margin-left:-45.35pt;margin-top:636.95pt;width:615.1pt;height:115.2pt;z-index:251658240;mso-position-horizontal-relative:margin;mso-position-vertical-relative:margin" coordsize="78121,14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">
                <v:rect id="Rectangle 1" o:spid="_x0000_s1027" alt="&quot;&quot;" style="position:absolute;width:78121;height:14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" fillcolor="#5c6670" stroked="f" strokeweight="1pt"/>
                <v:shapetype id="_x0000_t202" coordsize="21600,21600" o:spt="202" path="m,l,21600r21600,l21600,xe">
                  <v:stroke joinstyle="miter"/>
                  <v:path gradientshapeok="t" o:connecttype="rect"/>
                </v:shapetype>
                <v:shape id="Text Box 2" o:spid="_x0000_s1028" type="#_x0000_t202" alt="Visit https://cdhe.colorado.gov for more information" style="position:absolute;left:3313;top:2144;width:48436;height:9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" filled="f" stroked="f" strokeweight=".5pt">
                  <v:textbox>
                    <w:txbxContent>
                      <w:p w14:paraId="28CEEE81" w14:textId="77777777" w:rsidR="00CC7C41" w:rsidRPr="00D81504" w:rsidRDefault="00CC7C41" w:rsidP="00CC7C41">
                        <w:pPr>
                          <w:rPr>
                            <w:rFonts w:ascii="Museo Slab 500" w:eastAsiaTheme="minorHAnsi" w:hAnsi="Museo Slab 500" w:cs="Helvetica-Bold"/>
                            <w:b/>
                            <w:bCs/>
                            <w:color w:val="FFFFFF" w:themeColor="background1"/>
                            <w:sz w:val="28"/>
                            <w:szCs w:val="28"/>
                          </w:rPr>
                        </w:pPr>
                        <w:r w:rsidRPr="00D81504">
                          <w:rPr>
                            <w:rFonts w:ascii="Museo Slab 500" w:eastAsiaTheme="minorHAnsi" w:hAnsi="Museo Slab 500" w:cs="MuseoSlab-500"/>
                            <w:color w:val="FFFFFF" w:themeColor="background1"/>
                            <w:sz w:val="28"/>
                            <w:szCs w:val="28"/>
                            <w14:textOutline w14:w="9525" w14:cap="flat" w14:cmpd="sng" w14:algn="ctr">
                              <w14:noFill/>
                              <w14:prstDash w14:val="solid"/>
                              <w14:round/>
                            </w14:textOutline>
                          </w:rPr>
                          <w:t>For More Information</w:t>
                        </w:r>
                        <w:r>
                          <w:rPr>
                            <w:rFonts w:ascii="Museo Slab 500" w:eastAsiaTheme="minorHAnsi" w:hAnsi="Museo Slab 500" w:cs="Helvetica-Bold"/>
                            <w:b/>
                            <w:bCs/>
                            <w:color w:val="FFFFFF" w:themeColor="background1"/>
                            <w:sz w:val="28"/>
                            <w:szCs w:val="28"/>
                          </w:rPr>
                          <w:br/>
                        </w:r>
                        <w:r w:rsidRPr="006F742F">
                          <w:rPr>
                            <w:rFonts w:ascii="Trebuchet MS" w:eastAsiaTheme="minorHAnsi" w:hAnsi="Trebuchet MS" w:cs="TrebuchetMS-Bold"/>
                            <w:b/>
                            <w:bCs/>
                            <w:color w:val="FFFFFF" w:themeColor="background1"/>
                            <w:sz w:val="20"/>
                            <w:szCs w:val="20"/>
                            <w14:textOutline w14:w="9525" w14:cap="flat" w14:cmpd="sng" w14:algn="ctr">
                              <w14:noFill/>
                              <w14:prstDash w14:val="solid"/>
                              <w14:round/>
                            </w14:textOutline>
                          </w:rPr>
                          <w:t>Colorado Department of Higher Education</w:t>
                        </w:r>
                        <w:r w:rsidRPr="006F742F">
                          <w:rPr>
                            <w:rFonts w:ascii="HelveticaNeue" w:eastAsiaTheme="minorHAnsi" w:hAnsi="HelveticaNeue" w:cs="HelveticaNeue"/>
                            <w:color w:val="FFFFFF" w:themeColor="background1"/>
                            <w:sz w:val="20"/>
                            <w:szCs w:val="20"/>
                            <w14:textOutline w14:w="9525" w14:cap="flat" w14:cmpd="sng" w14:algn="ctr">
                              <w14:noFill/>
                              <w14:prstDash w14:val="solid"/>
                              <w14:round/>
                            </w14:textOutline>
                          </w:rPr>
                          <w:t xml:space="preserve"> </w:t>
                        </w:r>
                        <w:hyperlink r:id="rId15" w:tooltip="Original URL: https://cdhe.colorado.gov/  Click to follow link." w:history="1">
                          <w:r w:rsidRPr="006F742F">
                            <w:rPr>
                              <w:rFonts w:ascii="HelveticaNeue" w:eastAsiaTheme="minorHAnsi" w:hAnsi="HelveticaNeue" w:cs="HelveticaNeue"/>
                              <w:color w:val="FFFFFF" w:themeColor="background1"/>
                              <w:sz w:val="20"/>
                              <w:szCs w:val="20"/>
                              <w14:textOutline w14:w="9525" w14:cap="flat" w14:cmpd="sng" w14:algn="ctr">
                                <w14:noFill/>
                                <w14:prstDash w14:val="solid"/>
                                <w14:round/>
                              </w14:textOutline>
                            </w:rPr>
                            <w:t>https://cdhe.colorado.gov/</w:t>
                          </w:r>
                        </w:hyperlink>
                      </w:p>
                    </w:txbxContent>
                  </v:textbox>
                </v:shape>
                <v:line id="Straight Connector 3" o:spid="_x0000_s1029" alt="&quot;&quot;" style="position:absolute;visibility:visible;mso-wrap-style:square" from="52942,2054" to="52942,11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" strokecolor="white [3212]" strokeweight=".5pt">
                  <v:stroke joinstyle="miter"/>
                </v:line>
                <v:shape id="Text Box 4" o:spid="_x0000_s1030" type="#_x0000_t202" alt="CDHE Address and Phone&#10;1600 Broadway, Suite 2200&#10;Denver, CO 80202&#10;(303) 862-3001&#10;" style="position:absolute;left:54002;top:2054;width:20803;height:9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" filled="f" stroked="f" strokeweight=".5pt">
                  <v:textbox>
                    <w:txbxContent>
                      <w:p w14:paraId="1E3D462E" w14:textId="77777777" w:rsidR="00CC7C41" w:rsidRPr="00385275" w:rsidRDefault="00CC7C41" w:rsidP="00CC7C41">
                        <w:pPr>
                          <w:pStyle w:val="BasicParagraph"/>
                          <w:rPr>
                            <w:color w:val="FFFFFF" w:themeColor="background1"/>
                            <w:sz w:val="20"/>
                            <w:szCs w:val="20"/>
                          </w:rPr>
                        </w:pPr>
                        <w:r w:rsidRPr="00385275">
                          <w:rPr>
                            <w:color w:val="FFFFFF" w:themeColor="background1"/>
                            <w:sz w:val="20"/>
                            <w:szCs w:val="20"/>
                          </w:rPr>
                          <w:t>1600 Broadway, Suite 2200</w:t>
                        </w:r>
                      </w:p>
                      <w:p w14:paraId="2FBA0238" w14:textId="77777777" w:rsidR="00CC7C41" w:rsidRPr="00385275" w:rsidRDefault="00CC7C41" w:rsidP="00CC7C41">
                        <w:pPr>
                          <w:rPr>
                            <w:color w:val="FFFFFF" w:themeColor="background1"/>
                            <w:sz w:val="20"/>
                            <w:szCs w:val="20"/>
                          </w:rPr>
                        </w:pPr>
                        <w:r w:rsidRPr="00385275">
                          <w:rPr>
                            <w:color w:val="FFFFFF" w:themeColor="background1"/>
                            <w:sz w:val="20"/>
                            <w:szCs w:val="20"/>
                          </w:rPr>
                          <w:t>Denver, CO 80202</w:t>
                        </w:r>
                      </w:p>
                      <w:p w14:paraId="0DF3D7F8" w14:textId="77777777" w:rsidR="00CC7C41" w:rsidRPr="00385275" w:rsidRDefault="00CC7C41" w:rsidP="00CC7C41">
                        <w:pPr>
                          <w:rPr>
                            <w:color w:val="FFFFFF" w:themeColor="background1"/>
                            <w:sz w:val="20"/>
                            <w:szCs w:val="20"/>
                          </w:rPr>
                        </w:pPr>
                      </w:p>
                      <w:p w14:paraId="5EB0EC5B" w14:textId="77777777" w:rsidR="00CC7C41" w:rsidRPr="00385275" w:rsidRDefault="00CC7C41" w:rsidP="00CC7C41">
                        <w:pPr>
                          <w:pStyle w:val="BasicParagraph"/>
                          <w:rPr>
                            <w:color w:val="FFFFFF" w:themeColor="background1"/>
                            <w:sz w:val="20"/>
                            <w:szCs w:val="20"/>
                          </w:rPr>
                        </w:pPr>
                        <w:r w:rsidRPr="00385275">
                          <w:rPr>
                            <w:color w:val="FFFFFF" w:themeColor="background1"/>
                            <w:sz w:val="20"/>
                            <w:szCs w:val="20"/>
                          </w:rPr>
                          <w:t>(303) 862-3001</w:t>
                        </w:r>
                      </w:p>
                      <w:p w14:paraId="44683FCB" w14:textId="77777777" w:rsidR="00CC7C41" w:rsidRPr="00385275" w:rsidRDefault="00CC7C41" w:rsidP="00CC7C41">
                        <w:pPr>
                          <w:rPr>
                            <w:color w:val="FFFFFF" w:themeColor="background1"/>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quot;&quot;" style="position:absolute;left:65863;top:8017;width:9093;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">
                  <v:imagedata r:id="rId16" o:title=""/>
                </v:shape>
                <w10:wrap type="square" anchorx="margin" anchory="margin"/>
              </v:group>
            </w:pict>
          </mc:Fallback>
        </mc:AlternateContent>
      </w:r>
      <w:r w:rsidR="00A6561C">
        <w:t>Recommendations to the Commission</w:t>
      </w:r>
    </w:p>
    <w:p w14:paraId="3F186C4C" w14:textId="2BA429BC" w:rsidR="00707ECE" w:rsidRDefault="00707ECE" w:rsidP="00707ECE">
      <w:pPr>
        <w:pStyle w:val="Heading3"/>
      </w:pPr>
      <w:r>
        <w:t xml:space="preserve">Recommendation 1: Credit Hour </w:t>
      </w:r>
      <w:r w:rsidR="00EF3A3C">
        <w:t>Differentials</w:t>
      </w:r>
      <w:r>
        <w:t xml:space="preserve"> Across Key Gateway Courses</w:t>
      </w:r>
    </w:p>
    <w:p w14:paraId="570966D4" w14:textId="267188B0" w:rsidR="00A95748" w:rsidRPr="006C35A4" w:rsidRDefault="00A95748" w:rsidP="00D06122">
      <w:pPr>
        <w:spacing w:line="240" w:lineRule="auto"/>
        <w:rPr>
          <w:rFonts w:asciiTheme="majorHAnsi" w:eastAsia="Times New Roman" w:hAnsiTheme="majorHAnsi" w:cstheme="majorHAnsi"/>
          <w:color w:val="auto"/>
        </w:rPr>
      </w:pPr>
      <w:r w:rsidRPr="00A95748">
        <w:rPr>
          <w:rFonts w:asciiTheme="majorHAnsi" w:eastAsia="Times New Roman" w:hAnsiTheme="majorHAnsi" w:cstheme="majorHAnsi"/>
          <w:kern w:val="24"/>
        </w:rPr>
        <w:t xml:space="preserve">Request Department </w:t>
      </w:r>
      <w:proofErr w:type="gramStart"/>
      <w:r w:rsidRPr="00A95748">
        <w:rPr>
          <w:rFonts w:asciiTheme="majorHAnsi" w:eastAsia="Times New Roman" w:hAnsiTheme="majorHAnsi" w:cstheme="majorHAnsi"/>
          <w:kern w:val="24"/>
        </w:rPr>
        <w:t>staff to</w:t>
      </w:r>
      <w:proofErr w:type="gramEnd"/>
      <w:r w:rsidRPr="00A95748">
        <w:rPr>
          <w:rFonts w:asciiTheme="majorHAnsi" w:eastAsia="Times New Roman" w:hAnsiTheme="majorHAnsi" w:cstheme="majorHAnsi"/>
          <w:kern w:val="24"/>
        </w:rPr>
        <w:t xml:space="preserve"> conduct a review and, where feasible, work through GE Council members to convene faculty stakeholders to consider an outcomes-based model to define and seek opportunities to </w:t>
      </w:r>
      <w:proofErr w:type="gramStart"/>
      <w:r w:rsidRPr="00A95748">
        <w:rPr>
          <w:rFonts w:asciiTheme="majorHAnsi" w:eastAsia="Times New Roman" w:hAnsiTheme="majorHAnsi" w:cstheme="majorHAnsi"/>
          <w:kern w:val="24"/>
        </w:rPr>
        <w:t>align on</w:t>
      </w:r>
      <w:proofErr w:type="gramEnd"/>
      <w:r w:rsidRPr="00A95748">
        <w:rPr>
          <w:rFonts w:asciiTheme="majorHAnsi" w:eastAsia="Times New Roman" w:hAnsiTheme="majorHAnsi" w:cstheme="majorHAnsi"/>
          <w:kern w:val="24"/>
        </w:rPr>
        <w:t xml:space="preserve"> common learning outcomes for courses in GT Pathways with credit variability: </w:t>
      </w:r>
    </w:p>
    <w:p w14:paraId="297CD9D8" w14:textId="77777777" w:rsidR="00D06122" w:rsidRPr="006C35A4" w:rsidRDefault="00D06122" w:rsidP="00D06122">
      <w:pPr>
        <w:numPr>
          <w:ilvl w:val="0"/>
          <w:numId w:val="9"/>
        </w:numPr>
        <w:spacing w:line="240" w:lineRule="auto"/>
        <w:contextualSpacing/>
        <w:rPr>
          <w:rFonts w:asciiTheme="majorHAnsi" w:eastAsia="Times New Roman" w:hAnsiTheme="majorHAnsi" w:cstheme="majorHAnsi"/>
          <w:color w:val="auto"/>
        </w:rPr>
      </w:pPr>
      <w:r w:rsidRPr="006C35A4">
        <w:rPr>
          <w:rFonts w:asciiTheme="majorHAnsi" w:eastAsia="Times New Roman" w:hAnsiTheme="majorHAnsi" w:cstheme="majorHAnsi"/>
          <w:kern w:val="24"/>
        </w:rPr>
        <w:t>Math for Liberal Arts</w:t>
      </w:r>
    </w:p>
    <w:p w14:paraId="5622CC1B" w14:textId="77777777" w:rsidR="00D06122" w:rsidRPr="00D3646E" w:rsidRDefault="00D06122" w:rsidP="00D06122">
      <w:pPr>
        <w:numPr>
          <w:ilvl w:val="0"/>
          <w:numId w:val="9"/>
        </w:numPr>
        <w:spacing w:line="240" w:lineRule="auto"/>
        <w:contextualSpacing/>
        <w:rPr>
          <w:rFonts w:asciiTheme="majorHAnsi" w:eastAsia="Times New Roman" w:hAnsiTheme="majorHAnsi" w:cstheme="majorHAnsi"/>
          <w:color w:val="auto"/>
        </w:rPr>
      </w:pPr>
      <w:r w:rsidRPr="006C35A4">
        <w:rPr>
          <w:rFonts w:asciiTheme="majorHAnsi" w:eastAsia="Times New Roman" w:hAnsiTheme="majorHAnsi" w:cstheme="majorHAnsi"/>
          <w:kern w:val="24"/>
        </w:rPr>
        <w:t>Pre-Calculus</w:t>
      </w:r>
    </w:p>
    <w:p w14:paraId="079D6E98" w14:textId="0B2C53AC" w:rsidR="00D3646E" w:rsidRPr="001D7E58" w:rsidRDefault="00D3646E" w:rsidP="00D06122">
      <w:pPr>
        <w:numPr>
          <w:ilvl w:val="0"/>
          <w:numId w:val="9"/>
        </w:numPr>
        <w:spacing w:line="240" w:lineRule="auto"/>
        <w:contextualSpacing/>
        <w:rPr>
          <w:rFonts w:asciiTheme="majorHAnsi" w:eastAsia="Times New Roman" w:hAnsiTheme="majorHAnsi" w:cstheme="majorHAnsi"/>
          <w:color w:val="auto"/>
        </w:rPr>
      </w:pPr>
      <w:r>
        <w:rPr>
          <w:rFonts w:asciiTheme="majorHAnsi" w:eastAsia="Times New Roman" w:hAnsiTheme="majorHAnsi" w:cstheme="majorHAnsi"/>
          <w:kern w:val="24"/>
        </w:rPr>
        <w:t>Calculus I and II</w:t>
      </w:r>
    </w:p>
    <w:p w14:paraId="5508DCEE" w14:textId="77777777" w:rsidR="001D7E58" w:rsidRDefault="001D7E58" w:rsidP="001D7E58">
      <w:pPr>
        <w:spacing w:line="240" w:lineRule="auto"/>
        <w:contextualSpacing/>
        <w:rPr>
          <w:rFonts w:asciiTheme="majorHAnsi" w:eastAsia="Times New Roman" w:hAnsiTheme="majorHAnsi" w:cstheme="majorHAnsi"/>
          <w:kern w:val="24"/>
        </w:rPr>
      </w:pPr>
    </w:p>
    <w:p w14:paraId="7E8BB7CD" w14:textId="2D9A9C2F" w:rsidR="00707ECE" w:rsidRDefault="00707ECE" w:rsidP="00D06122">
      <w:pPr>
        <w:pStyle w:val="Heading3"/>
      </w:pPr>
      <w:r>
        <w:t xml:space="preserve">Recommendation 2: </w:t>
      </w:r>
      <w:r w:rsidR="00784B55">
        <w:t xml:space="preserve">Strategic Communication for </w:t>
      </w:r>
      <w:r w:rsidR="00743593">
        <w:t>GT Pathways and Transfer Degrees</w:t>
      </w:r>
    </w:p>
    <w:p w14:paraId="64D52961" w14:textId="2D4475F0" w:rsidR="004C3200" w:rsidRDefault="00D06122" w:rsidP="00707ECE">
      <w:pPr>
        <w:rPr>
          <w:rFonts w:asciiTheme="majorHAnsi" w:eastAsia="Times New Roman" w:hAnsiTheme="majorHAnsi" w:cstheme="majorHAnsi"/>
          <w:kern w:val="24"/>
        </w:rPr>
      </w:pPr>
      <w:r w:rsidRPr="006C35A4">
        <w:rPr>
          <w:rFonts w:asciiTheme="majorHAnsi" w:eastAsia="Times New Roman" w:hAnsiTheme="majorHAnsi" w:cstheme="majorHAnsi"/>
          <w:kern w:val="24"/>
        </w:rPr>
        <w:t xml:space="preserve">Request Department staff to </w:t>
      </w:r>
      <w:r w:rsidR="007077F3">
        <w:rPr>
          <w:rFonts w:asciiTheme="majorHAnsi" w:eastAsia="Times New Roman" w:hAnsiTheme="majorHAnsi" w:cstheme="majorHAnsi"/>
          <w:kern w:val="24"/>
        </w:rPr>
        <w:t>leverage</w:t>
      </w:r>
      <w:r w:rsidRPr="006C35A4">
        <w:rPr>
          <w:rFonts w:asciiTheme="majorHAnsi" w:eastAsia="Times New Roman" w:hAnsiTheme="majorHAnsi" w:cstheme="majorHAnsi"/>
          <w:kern w:val="24"/>
        </w:rPr>
        <w:t xml:space="preserve"> public dashboard</w:t>
      </w:r>
      <w:r w:rsidR="007077F3">
        <w:rPr>
          <w:rFonts w:asciiTheme="majorHAnsi" w:eastAsia="Times New Roman" w:hAnsiTheme="majorHAnsi" w:cstheme="majorHAnsi"/>
          <w:kern w:val="24"/>
        </w:rPr>
        <w:t>s</w:t>
      </w:r>
      <w:r w:rsidRPr="006C35A4">
        <w:rPr>
          <w:rFonts w:asciiTheme="majorHAnsi" w:eastAsia="Times New Roman" w:hAnsiTheme="majorHAnsi" w:cstheme="majorHAnsi"/>
          <w:kern w:val="24"/>
        </w:rPr>
        <w:t xml:space="preserve"> and information pages to communicate about GTP categories and courses’ transferability (including among STAAs).</w:t>
      </w:r>
      <w:r w:rsidR="00943695">
        <w:rPr>
          <w:rFonts w:asciiTheme="majorHAnsi" w:eastAsia="Times New Roman" w:hAnsiTheme="majorHAnsi" w:cstheme="majorHAnsi"/>
          <w:kern w:val="24"/>
        </w:rPr>
        <w:t xml:space="preserve"> </w:t>
      </w:r>
      <w:r w:rsidR="00506165">
        <w:rPr>
          <w:rFonts w:asciiTheme="majorHAnsi" w:eastAsia="Times New Roman" w:hAnsiTheme="majorHAnsi" w:cstheme="majorHAnsi"/>
          <w:kern w:val="24"/>
        </w:rPr>
        <w:t>These resources</w:t>
      </w:r>
      <w:r w:rsidR="00943695">
        <w:rPr>
          <w:rFonts w:asciiTheme="majorHAnsi" w:eastAsia="Times New Roman" w:hAnsiTheme="majorHAnsi" w:cstheme="majorHAnsi"/>
          <w:kern w:val="24"/>
        </w:rPr>
        <w:t xml:space="preserve"> </w:t>
      </w:r>
      <w:r w:rsidR="00B22CBD">
        <w:rPr>
          <w:rFonts w:asciiTheme="majorHAnsi" w:eastAsia="Times New Roman" w:hAnsiTheme="majorHAnsi" w:cstheme="majorHAnsi"/>
          <w:kern w:val="24"/>
        </w:rPr>
        <w:t>could</w:t>
      </w:r>
      <w:r w:rsidR="00943695">
        <w:rPr>
          <w:rFonts w:asciiTheme="majorHAnsi" w:eastAsia="Times New Roman" w:hAnsiTheme="majorHAnsi" w:cstheme="majorHAnsi"/>
          <w:kern w:val="24"/>
        </w:rPr>
        <w:t xml:space="preserve"> also </w:t>
      </w:r>
      <w:r w:rsidR="000E6343">
        <w:rPr>
          <w:rFonts w:asciiTheme="majorHAnsi" w:eastAsia="Times New Roman" w:hAnsiTheme="majorHAnsi" w:cstheme="majorHAnsi"/>
          <w:kern w:val="24"/>
        </w:rPr>
        <w:t xml:space="preserve">guide students to identify courses which apply to both GT Pathways </w:t>
      </w:r>
      <w:r w:rsidR="00F44A79">
        <w:rPr>
          <w:rFonts w:asciiTheme="majorHAnsi" w:eastAsia="Times New Roman" w:hAnsiTheme="majorHAnsi" w:cstheme="majorHAnsi"/>
          <w:kern w:val="24"/>
        </w:rPr>
        <w:t xml:space="preserve">and major course requirements beyond general education. </w:t>
      </w:r>
      <w:r w:rsidR="00943695">
        <w:rPr>
          <w:rFonts w:asciiTheme="majorHAnsi" w:eastAsia="Times New Roman" w:hAnsiTheme="majorHAnsi" w:cstheme="majorHAnsi"/>
          <w:kern w:val="24"/>
        </w:rPr>
        <w:t xml:space="preserve"> </w:t>
      </w:r>
    </w:p>
    <w:p w14:paraId="529B2AB5" w14:textId="77777777" w:rsidR="00B01D0D" w:rsidRDefault="00B01D0D" w:rsidP="00D06122">
      <w:pPr>
        <w:pStyle w:val="Heading3"/>
      </w:pPr>
    </w:p>
    <w:p w14:paraId="608AB794" w14:textId="751F7367" w:rsidR="00743593" w:rsidRDefault="00743593" w:rsidP="00D06122">
      <w:pPr>
        <w:pStyle w:val="Heading3"/>
      </w:pPr>
      <w:r>
        <w:t>Recommendation 3: Statewide Support for Transfer Student Success</w:t>
      </w:r>
    </w:p>
    <w:p w14:paraId="2C1C8D4F" w14:textId="1D30CDF0" w:rsidR="00252D6C" w:rsidRDefault="003367B6" w:rsidP="00D06122">
      <w:pPr>
        <w:rPr>
          <w:rFonts w:asciiTheme="majorHAnsi" w:eastAsia="Times New Roman" w:hAnsiTheme="majorHAnsi" w:cstheme="majorHAnsi"/>
          <w:kern w:val="24"/>
        </w:rPr>
      </w:pPr>
      <w:r>
        <w:rPr>
          <w:rFonts w:asciiTheme="majorHAnsi" w:eastAsia="Times New Roman" w:hAnsiTheme="majorHAnsi" w:cstheme="majorHAnsi"/>
          <w:kern w:val="24"/>
        </w:rPr>
        <w:t xml:space="preserve">Expand and enhance statewide professional development for faculty, academic advisors, registrars, admissions staff, and other student services professionals. </w:t>
      </w:r>
      <w:r w:rsidR="00506165">
        <w:rPr>
          <w:rFonts w:asciiTheme="majorHAnsi" w:eastAsia="Times New Roman" w:hAnsiTheme="majorHAnsi" w:cstheme="majorHAnsi"/>
          <w:kern w:val="24"/>
        </w:rPr>
        <w:t>These roles are pivotal in advancing transfer student success. Target training should address strategies for improving associate degree completion prior to transfer and for resolving common transfer barriers to ensure smoother and more equitable pathways for students across Colorado institutions.</w:t>
      </w:r>
    </w:p>
    <w:p w14:paraId="3C56E8F0" w14:textId="77777777" w:rsidR="002F10C6" w:rsidRDefault="002F10C6" w:rsidP="00D06122">
      <w:pPr>
        <w:rPr>
          <w:rFonts w:asciiTheme="majorHAnsi" w:eastAsia="Times New Roman" w:hAnsiTheme="majorHAnsi" w:cstheme="majorHAnsi"/>
          <w:kern w:val="24"/>
        </w:rPr>
      </w:pPr>
    </w:p>
    <w:p w14:paraId="70451AA7" w14:textId="77777777" w:rsidR="00252D6C" w:rsidRDefault="00252D6C">
      <w:pPr>
        <w:spacing w:after="200" w:line="276" w:lineRule="auto"/>
        <w:rPr>
          <w:rFonts w:asciiTheme="majorHAnsi" w:eastAsia="Times New Roman" w:hAnsiTheme="majorHAnsi" w:cstheme="majorHAnsi"/>
          <w:kern w:val="24"/>
        </w:rPr>
      </w:pPr>
      <w:r>
        <w:rPr>
          <w:rFonts w:asciiTheme="majorHAnsi" w:eastAsia="Times New Roman" w:hAnsiTheme="majorHAnsi" w:cstheme="majorHAnsi"/>
          <w:kern w:val="24"/>
        </w:rPr>
        <w:br w:type="page"/>
      </w:r>
    </w:p>
    <w:p w14:paraId="762A3068" w14:textId="6EA48B74" w:rsidR="00D06122" w:rsidRDefault="00252D6C" w:rsidP="00252D6C">
      <w:pPr>
        <w:pStyle w:val="Heading2"/>
      </w:pPr>
      <w:r>
        <w:lastRenderedPageBreak/>
        <w:t xml:space="preserve">Appendix A: </w:t>
      </w:r>
      <w:r w:rsidR="002F10C6">
        <w:t>Highest Enrollment GT Pathways Courses</w:t>
      </w:r>
      <w:r w:rsidR="00CE0B8E">
        <w:t xml:space="preserve"> Academic Years 2023-2024 Combined</w:t>
      </w:r>
      <w:r w:rsidR="00022433">
        <w:t xml:space="preserve"> – Colorado Community College System</w:t>
      </w:r>
    </w:p>
    <w:tbl>
      <w:tblPr>
        <w:tblStyle w:val="ListTable4-Accent2"/>
        <w:tblW w:w="0" w:type="auto"/>
        <w:tblInd w:w="-108" w:type="dxa"/>
        <w:tblLook w:val="04A0" w:firstRow="1" w:lastRow="0" w:firstColumn="1" w:lastColumn="0" w:noHBand="0" w:noVBand="1"/>
      </w:tblPr>
      <w:tblGrid>
        <w:gridCol w:w="799"/>
        <w:gridCol w:w="1266"/>
        <w:gridCol w:w="3772"/>
        <w:gridCol w:w="3406"/>
      </w:tblGrid>
      <w:tr w:rsidR="002F10C6" w:rsidRPr="002F10C6" w14:paraId="0382E68A" w14:textId="485486E7" w:rsidTr="1048012A">
        <w:trPr>
          <w:cnfStyle w:val="100000000000" w:firstRow="1" w:lastRow="0" w:firstColumn="0" w:lastColumn="0" w:oddVBand="0" w:evenVBand="0" w:oddHBand="0" w:evenHBand="0" w:firstRowFirstColumn="0" w:firstRowLastColumn="0" w:lastRowFirstColumn="0" w:lastRowLastColumn="0"/>
          <w:trHeight w:val="54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1970" w:themeFill="accent1"/>
            <w:vAlign w:val="top"/>
          </w:tcPr>
          <w:p w14:paraId="242802CE" w14:textId="4A5B9A6B" w:rsidR="002F10C6" w:rsidRPr="002F10C6" w:rsidRDefault="002F10C6" w:rsidP="002F10C6">
            <w:pPr>
              <w:rPr>
                <w:rFonts w:ascii="Calibri" w:hAnsi="Calibri" w:cs="Calibri"/>
                <w:color w:val="FFFFFF" w:themeColor="background1"/>
              </w:rPr>
            </w:pPr>
            <w:r w:rsidRPr="002F10C6">
              <w:rPr>
                <w:color w:val="FFFFFF" w:themeColor="background1"/>
              </w:rPr>
              <w:t>Order</w:t>
            </w:r>
          </w:p>
        </w:tc>
        <w:tc>
          <w:tcPr>
            <w:tcW w:w="0" w:type="auto"/>
            <w:shd w:val="clear" w:color="auto" w:fill="001970" w:themeFill="accent1"/>
            <w:vAlign w:val="top"/>
          </w:tcPr>
          <w:p w14:paraId="2E0057DA" w14:textId="373FE199" w:rsidR="002F10C6" w:rsidRPr="002F10C6" w:rsidRDefault="002F10C6" w:rsidP="002F10C6">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2F10C6">
              <w:rPr>
                <w:color w:val="FFFFFF" w:themeColor="background1"/>
              </w:rPr>
              <w:t>Course</w:t>
            </w:r>
          </w:p>
        </w:tc>
        <w:tc>
          <w:tcPr>
            <w:tcW w:w="0" w:type="auto"/>
            <w:shd w:val="clear" w:color="auto" w:fill="001970" w:themeFill="accent1"/>
            <w:vAlign w:val="top"/>
          </w:tcPr>
          <w:p w14:paraId="5E3716D1" w14:textId="28BE858C" w:rsidR="002F10C6" w:rsidRPr="002F10C6" w:rsidRDefault="002F10C6" w:rsidP="002F10C6">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2F10C6">
              <w:rPr>
                <w:color w:val="FFFFFF" w:themeColor="background1"/>
              </w:rPr>
              <w:t>Title: GT Pathways Category</w:t>
            </w:r>
          </w:p>
        </w:tc>
        <w:tc>
          <w:tcPr>
            <w:tcW w:w="0" w:type="auto"/>
            <w:shd w:val="clear" w:color="auto" w:fill="001970" w:themeFill="accent1"/>
            <w:vAlign w:val="top"/>
          </w:tcPr>
          <w:p w14:paraId="02733ADA" w14:textId="7933886D" w:rsidR="002F10C6" w:rsidRPr="002F10C6" w:rsidRDefault="002F10C6" w:rsidP="002F10C6">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2F10C6">
              <w:rPr>
                <w:color w:val="FFFFFF" w:themeColor="background1"/>
              </w:rPr>
              <w:t xml:space="preserve">Total </w:t>
            </w:r>
            <w:r w:rsidR="006B6BE4">
              <w:rPr>
                <w:color w:val="FFFFFF" w:themeColor="background1"/>
              </w:rPr>
              <w:t xml:space="preserve">Enrollments </w:t>
            </w:r>
            <w:r w:rsidRPr="002F10C6">
              <w:rPr>
                <w:color w:val="FFFFFF" w:themeColor="background1"/>
              </w:rPr>
              <w:t>AY 2023-2024</w:t>
            </w:r>
          </w:p>
        </w:tc>
      </w:tr>
      <w:tr w:rsidR="002F10C6" w:rsidRPr="00D62E0E" w14:paraId="43E99CB0" w14:textId="7F2C0FE8"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5B598C37" w14:textId="59E27608" w:rsidR="002F10C6" w:rsidRPr="00D62E0E" w:rsidRDefault="002F10C6" w:rsidP="002F10C6">
            <w:pPr>
              <w:rPr>
                <w:rFonts w:ascii="Calibri" w:hAnsi="Calibri" w:cs="Calibri"/>
              </w:rPr>
            </w:pPr>
            <w:r w:rsidRPr="002F10C6">
              <w:t>1</w:t>
            </w:r>
          </w:p>
        </w:tc>
        <w:tc>
          <w:tcPr>
            <w:tcW w:w="0" w:type="auto"/>
            <w:vAlign w:val="top"/>
          </w:tcPr>
          <w:p w14:paraId="1565026F" w14:textId="5FD6E4C0" w:rsidR="002F10C6" w:rsidRPr="00D62E0E" w:rsidRDefault="002F10C6" w:rsidP="002F10C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F10C6">
              <w:t>ENG 1021</w:t>
            </w:r>
          </w:p>
        </w:tc>
        <w:tc>
          <w:tcPr>
            <w:tcW w:w="0" w:type="auto"/>
            <w:vAlign w:val="top"/>
          </w:tcPr>
          <w:p w14:paraId="5F1B17BE" w14:textId="52127D67" w:rsidR="002F10C6" w:rsidRPr="00D62E0E" w:rsidRDefault="002F10C6" w:rsidP="002F10C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F10C6">
              <w:t>English Composition I:CO1</w:t>
            </w:r>
          </w:p>
        </w:tc>
        <w:tc>
          <w:tcPr>
            <w:tcW w:w="0" w:type="auto"/>
            <w:vAlign w:val="top"/>
          </w:tcPr>
          <w:p w14:paraId="2D6AAF70" w14:textId="2A61C896" w:rsidR="002F10C6" w:rsidRPr="00D62E0E" w:rsidRDefault="002F10C6" w:rsidP="002F10C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F10C6">
              <w:t>48,143</w:t>
            </w:r>
          </w:p>
        </w:tc>
      </w:tr>
      <w:tr w:rsidR="002F10C6" w:rsidRPr="00D62E0E" w14:paraId="4A6F8FB5" w14:textId="6F7F656B"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0DB7959E" w14:textId="0458F91D" w:rsidR="002F10C6" w:rsidRPr="00D62E0E" w:rsidRDefault="002F10C6" w:rsidP="002F10C6">
            <w:pPr>
              <w:rPr>
                <w:rFonts w:ascii="Calibri" w:hAnsi="Calibri" w:cs="Calibri"/>
              </w:rPr>
            </w:pPr>
            <w:r w:rsidRPr="002F10C6">
              <w:t>2</w:t>
            </w:r>
          </w:p>
        </w:tc>
        <w:tc>
          <w:tcPr>
            <w:tcW w:w="0" w:type="auto"/>
            <w:vAlign w:val="top"/>
          </w:tcPr>
          <w:p w14:paraId="56F38791" w14:textId="6459801C" w:rsidR="002F10C6" w:rsidRPr="00D62E0E" w:rsidRDefault="002F10C6" w:rsidP="002F10C6">
            <w:p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2F10C6">
              <w:t>MAT 1340</w:t>
            </w:r>
          </w:p>
        </w:tc>
        <w:tc>
          <w:tcPr>
            <w:tcW w:w="0" w:type="auto"/>
            <w:vAlign w:val="top"/>
          </w:tcPr>
          <w:p w14:paraId="57A4B638" w14:textId="5894A350" w:rsidR="002F10C6" w:rsidRPr="00D62E0E" w:rsidRDefault="002F10C6" w:rsidP="002F10C6">
            <w:p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2F10C6">
              <w:t>College Algebra: MA1</w:t>
            </w:r>
          </w:p>
        </w:tc>
        <w:tc>
          <w:tcPr>
            <w:tcW w:w="0" w:type="auto"/>
            <w:vAlign w:val="top"/>
          </w:tcPr>
          <w:p w14:paraId="64EF5570" w14:textId="594A188A" w:rsidR="002F10C6" w:rsidRPr="00D62E0E" w:rsidRDefault="002F10C6" w:rsidP="002F10C6">
            <w:p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2F10C6">
              <w:t>29,286</w:t>
            </w:r>
          </w:p>
        </w:tc>
      </w:tr>
      <w:tr w:rsidR="002F10C6" w:rsidRPr="00D62E0E" w14:paraId="724ACE07" w14:textId="5D88C0A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06A9C2DD" w14:textId="0A9C563B" w:rsidR="002F10C6" w:rsidRPr="00D62E0E" w:rsidRDefault="002F10C6" w:rsidP="002F10C6">
            <w:pPr>
              <w:rPr>
                <w:rFonts w:ascii="Calibri" w:hAnsi="Calibri" w:cs="Calibri"/>
              </w:rPr>
            </w:pPr>
            <w:r w:rsidRPr="002F10C6">
              <w:t>3</w:t>
            </w:r>
          </w:p>
        </w:tc>
        <w:tc>
          <w:tcPr>
            <w:tcW w:w="0" w:type="auto"/>
            <w:vAlign w:val="top"/>
          </w:tcPr>
          <w:p w14:paraId="39A54AF0" w14:textId="2AA4BEB9" w:rsidR="002F10C6" w:rsidRPr="00D62E0E" w:rsidRDefault="002F10C6" w:rsidP="002F10C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F10C6">
              <w:t>ENG 1022</w:t>
            </w:r>
          </w:p>
        </w:tc>
        <w:tc>
          <w:tcPr>
            <w:tcW w:w="0" w:type="auto"/>
            <w:vAlign w:val="top"/>
          </w:tcPr>
          <w:p w14:paraId="1538AAF0" w14:textId="0D3575E8" w:rsidR="002F10C6" w:rsidRPr="00D62E0E" w:rsidRDefault="002F10C6" w:rsidP="002F10C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F10C6">
              <w:t xml:space="preserve">English Composition </w:t>
            </w:r>
            <w:proofErr w:type="gramStart"/>
            <w:r w:rsidRPr="002F10C6">
              <w:t>II:CO2</w:t>
            </w:r>
            <w:proofErr w:type="gramEnd"/>
          </w:p>
        </w:tc>
        <w:tc>
          <w:tcPr>
            <w:tcW w:w="0" w:type="auto"/>
            <w:vAlign w:val="top"/>
          </w:tcPr>
          <w:p w14:paraId="3A02732F" w14:textId="56F90FAF" w:rsidR="002F10C6" w:rsidRPr="00D62E0E" w:rsidRDefault="002F10C6" w:rsidP="002F10C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F10C6">
              <w:t>27,864</w:t>
            </w:r>
          </w:p>
        </w:tc>
      </w:tr>
      <w:tr w:rsidR="002F10C6" w:rsidRPr="00D62E0E" w14:paraId="760BD7D9" w14:textId="3E31D9EB"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10F09C98" w14:textId="2BDB9494" w:rsidR="002F10C6" w:rsidRPr="00D62E0E" w:rsidRDefault="002F10C6" w:rsidP="002F10C6">
            <w:pPr>
              <w:rPr>
                <w:rFonts w:ascii="Calibri" w:hAnsi="Calibri" w:cs="Calibri"/>
              </w:rPr>
            </w:pPr>
            <w:r w:rsidRPr="002F10C6">
              <w:t>4</w:t>
            </w:r>
          </w:p>
        </w:tc>
        <w:tc>
          <w:tcPr>
            <w:tcW w:w="0" w:type="auto"/>
            <w:vAlign w:val="top"/>
          </w:tcPr>
          <w:p w14:paraId="79B4233F" w14:textId="21DFA9BD" w:rsidR="002F10C6" w:rsidRPr="00D62E0E" w:rsidRDefault="002F10C6" w:rsidP="002F10C6">
            <w:p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2F10C6">
              <w:t>PSY 1001</w:t>
            </w:r>
          </w:p>
        </w:tc>
        <w:tc>
          <w:tcPr>
            <w:tcW w:w="0" w:type="auto"/>
            <w:vAlign w:val="top"/>
          </w:tcPr>
          <w:p w14:paraId="0EB9124A" w14:textId="1C7F8570" w:rsidR="002F10C6" w:rsidRPr="00D62E0E" w:rsidRDefault="002F10C6" w:rsidP="002F10C6">
            <w:p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2F10C6">
              <w:t>General Psychology I: SS3</w:t>
            </w:r>
          </w:p>
        </w:tc>
        <w:tc>
          <w:tcPr>
            <w:tcW w:w="0" w:type="auto"/>
            <w:vAlign w:val="top"/>
          </w:tcPr>
          <w:p w14:paraId="6CFF51A9" w14:textId="632EE1FE" w:rsidR="002F10C6" w:rsidRPr="00D62E0E" w:rsidRDefault="002F10C6" w:rsidP="002F10C6">
            <w:p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2F10C6">
              <w:t>18,749</w:t>
            </w:r>
          </w:p>
        </w:tc>
      </w:tr>
      <w:tr w:rsidR="002F10C6" w:rsidRPr="00D62E0E" w14:paraId="4047334B"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676855B7" w14:textId="06879B77" w:rsidR="002F10C6" w:rsidRPr="002F10C6" w:rsidRDefault="002F10C6" w:rsidP="002F10C6">
            <w:r w:rsidRPr="002F10C6">
              <w:t>5</w:t>
            </w:r>
          </w:p>
        </w:tc>
        <w:tc>
          <w:tcPr>
            <w:tcW w:w="0" w:type="auto"/>
            <w:vAlign w:val="top"/>
          </w:tcPr>
          <w:p w14:paraId="28AD39AE" w14:textId="1B63E831"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BIO 1111</w:t>
            </w:r>
          </w:p>
        </w:tc>
        <w:tc>
          <w:tcPr>
            <w:tcW w:w="0" w:type="auto"/>
            <w:vAlign w:val="top"/>
          </w:tcPr>
          <w:p w14:paraId="188A86C7" w14:textId="62CF6FF9"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Gen College Biology I/Lab: SC1</w:t>
            </w:r>
          </w:p>
        </w:tc>
        <w:tc>
          <w:tcPr>
            <w:tcW w:w="0" w:type="auto"/>
            <w:vAlign w:val="top"/>
          </w:tcPr>
          <w:p w14:paraId="15614D79" w14:textId="4B078AEF"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11,675</w:t>
            </w:r>
          </w:p>
        </w:tc>
      </w:tr>
      <w:tr w:rsidR="002F10C6" w:rsidRPr="00D62E0E" w14:paraId="631AE5C5"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03C7C178" w14:textId="19EDAD1B" w:rsidR="002F10C6" w:rsidRPr="002F10C6" w:rsidRDefault="002F10C6" w:rsidP="002F10C6">
            <w:r w:rsidRPr="002F10C6">
              <w:t>6</w:t>
            </w:r>
          </w:p>
        </w:tc>
        <w:tc>
          <w:tcPr>
            <w:tcW w:w="0" w:type="auto"/>
            <w:vAlign w:val="top"/>
          </w:tcPr>
          <w:p w14:paraId="2155C70D" w14:textId="4E16A5EC"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MAT 1260</w:t>
            </w:r>
          </w:p>
        </w:tc>
        <w:tc>
          <w:tcPr>
            <w:tcW w:w="0" w:type="auto"/>
            <w:vAlign w:val="top"/>
          </w:tcPr>
          <w:p w14:paraId="72C208DF" w14:textId="55E822A7"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Intro to Statistics: MA1</w:t>
            </w:r>
          </w:p>
        </w:tc>
        <w:tc>
          <w:tcPr>
            <w:tcW w:w="0" w:type="auto"/>
            <w:vAlign w:val="top"/>
          </w:tcPr>
          <w:p w14:paraId="18DB5A56" w14:textId="45864B4A"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11,020</w:t>
            </w:r>
          </w:p>
        </w:tc>
      </w:tr>
      <w:tr w:rsidR="002F10C6" w:rsidRPr="00D62E0E" w14:paraId="2F28EB80"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7FAE0AF0" w14:textId="4FDF502F" w:rsidR="002F10C6" w:rsidRPr="002F10C6" w:rsidRDefault="002F10C6" w:rsidP="002F10C6">
            <w:r w:rsidRPr="002F10C6">
              <w:t>7</w:t>
            </w:r>
          </w:p>
        </w:tc>
        <w:tc>
          <w:tcPr>
            <w:tcW w:w="0" w:type="auto"/>
            <w:vAlign w:val="top"/>
          </w:tcPr>
          <w:p w14:paraId="52E69079" w14:textId="45140E3D"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COM 1250</w:t>
            </w:r>
          </w:p>
        </w:tc>
        <w:tc>
          <w:tcPr>
            <w:tcW w:w="0" w:type="auto"/>
            <w:vAlign w:val="top"/>
          </w:tcPr>
          <w:p w14:paraId="72415263" w14:textId="2D731AF8"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Interpersonal Comm: SS3</w:t>
            </w:r>
          </w:p>
        </w:tc>
        <w:tc>
          <w:tcPr>
            <w:tcW w:w="0" w:type="auto"/>
            <w:vAlign w:val="top"/>
          </w:tcPr>
          <w:p w14:paraId="4F029766" w14:textId="33DE69A5"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9,580</w:t>
            </w:r>
          </w:p>
        </w:tc>
      </w:tr>
      <w:tr w:rsidR="002F10C6" w:rsidRPr="00D62E0E" w14:paraId="640DCDEF"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558E9490" w14:textId="00A23BF2" w:rsidR="002F10C6" w:rsidRPr="002F10C6" w:rsidRDefault="002F10C6" w:rsidP="002F10C6">
            <w:r w:rsidRPr="002F10C6">
              <w:t>8</w:t>
            </w:r>
          </w:p>
        </w:tc>
        <w:tc>
          <w:tcPr>
            <w:tcW w:w="0" w:type="auto"/>
            <w:vAlign w:val="top"/>
          </w:tcPr>
          <w:p w14:paraId="59E62EC7" w14:textId="6AE25887"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PSY 2440</w:t>
            </w:r>
          </w:p>
        </w:tc>
        <w:tc>
          <w:tcPr>
            <w:tcW w:w="0" w:type="auto"/>
            <w:vAlign w:val="top"/>
          </w:tcPr>
          <w:p w14:paraId="6E9D79A8" w14:textId="683EA964"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t xml:space="preserve">Human Growth &amp; </w:t>
            </w:r>
            <w:r w:rsidR="2E2B3E9F">
              <w:t>Development</w:t>
            </w:r>
            <w:r>
              <w:t>: SS3</w:t>
            </w:r>
          </w:p>
        </w:tc>
        <w:tc>
          <w:tcPr>
            <w:tcW w:w="0" w:type="auto"/>
            <w:vAlign w:val="top"/>
          </w:tcPr>
          <w:p w14:paraId="2A511B6B" w14:textId="0EE84B3C"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8,837</w:t>
            </w:r>
          </w:p>
        </w:tc>
      </w:tr>
      <w:tr w:rsidR="002F10C6" w:rsidRPr="00D62E0E" w14:paraId="3126F292"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40748EEB" w14:textId="3E3490B9" w:rsidR="002F10C6" w:rsidRPr="002F10C6" w:rsidRDefault="002F10C6" w:rsidP="002F10C6">
            <w:r w:rsidRPr="002F10C6">
              <w:t>9</w:t>
            </w:r>
          </w:p>
        </w:tc>
        <w:tc>
          <w:tcPr>
            <w:tcW w:w="0" w:type="auto"/>
            <w:vAlign w:val="top"/>
          </w:tcPr>
          <w:p w14:paraId="529B9BAC" w14:textId="01A0E03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BIO 2101</w:t>
            </w:r>
          </w:p>
        </w:tc>
        <w:tc>
          <w:tcPr>
            <w:tcW w:w="0" w:type="auto"/>
            <w:vAlign w:val="top"/>
          </w:tcPr>
          <w:p w14:paraId="36AFE835" w14:textId="13C5D9F3"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 xml:space="preserve">Human </w:t>
            </w:r>
            <w:proofErr w:type="spellStart"/>
            <w:r w:rsidRPr="002F10C6">
              <w:t>Anatomy&amp;Phys</w:t>
            </w:r>
            <w:proofErr w:type="spellEnd"/>
            <w:r w:rsidRPr="002F10C6">
              <w:t xml:space="preserve"> I w/Lab:SC1</w:t>
            </w:r>
          </w:p>
        </w:tc>
        <w:tc>
          <w:tcPr>
            <w:tcW w:w="0" w:type="auto"/>
            <w:vAlign w:val="top"/>
          </w:tcPr>
          <w:p w14:paraId="156C011D" w14:textId="2846F57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9,163</w:t>
            </w:r>
          </w:p>
        </w:tc>
      </w:tr>
      <w:tr w:rsidR="002F10C6" w:rsidRPr="00D62E0E" w14:paraId="4C0038A1"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55176012" w14:textId="3F895F24" w:rsidR="002F10C6" w:rsidRPr="002F10C6" w:rsidRDefault="002F10C6" w:rsidP="002F10C6">
            <w:r w:rsidRPr="002F10C6">
              <w:t>10</w:t>
            </w:r>
          </w:p>
        </w:tc>
        <w:tc>
          <w:tcPr>
            <w:tcW w:w="0" w:type="auto"/>
            <w:vAlign w:val="top"/>
          </w:tcPr>
          <w:p w14:paraId="7CCD84A7" w14:textId="1413BC13"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LIT 1015</w:t>
            </w:r>
          </w:p>
        </w:tc>
        <w:tc>
          <w:tcPr>
            <w:tcW w:w="0" w:type="auto"/>
            <w:vAlign w:val="top"/>
          </w:tcPr>
          <w:p w14:paraId="7366ED01" w14:textId="5422F021"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Intro to Literature I: AH2</w:t>
            </w:r>
          </w:p>
        </w:tc>
        <w:tc>
          <w:tcPr>
            <w:tcW w:w="0" w:type="auto"/>
            <w:vAlign w:val="top"/>
          </w:tcPr>
          <w:p w14:paraId="4E9F46C2" w14:textId="5B6309EA"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8,485</w:t>
            </w:r>
          </w:p>
        </w:tc>
      </w:tr>
      <w:tr w:rsidR="002F10C6" w:rsidRPr="00D62E0E" w14:paraId="5E9E2ADF"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3A20DE64" w14:textId="74DF9AEE" w:rsidR="002F10C6" w:rsidRPr="002F10C6" w:rsidRDefault="002F10C6" w:rsidP="002F10C6">
            <w:r w:rsidRPr="002F10C6">
              <w:t>11</w:t>
            </w:r>
          </w:p>
        </w:tc>
        <w:tc>
          <w:tcPr>
            <w:tcW w:w="0" w:type="auto"/>
            <w:vAlign w:val="top"/>
          </w:tcPr>
          <w:p w14:paraId="1A00871C" w14:textId="41478835"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SOC 1001</w:t>
            </w:r>
          </w:p>
        </w:tc>
        <w:tc>
          <w:tcPr>
            <w:tcW w:w="0" w:type="auto"/>
            <w:vAlign w:val="top"/>
          </w:tcPr>
          <w:p w14:paraId="214BFC6A" w14:textId="70413AE2"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 xml:space="preserve">Intro to Sociology </w:t>
            </w:r>
            <w:proofErr w:type="gramStart"/>
            <w:r w:rsidRPr="002F10C6">
              <w:t>I :</w:t>
            </w:r>
            <w:proofErr w:type="gramEnd"/>
            <w:r w:rsidRPr="002F10C6">
              <w:t xml:space="preserve"> GT-SS3</w:t>
            </w:r>
          </w:p>
        </w:tc>
        <w:tc>
          <w:tcPr>
            <w:tcW w:w="0" w:type="auto"/>
            <w:vAlign w:val="top"/>
          </w:tcPr>
          <w:p w14:paraId="7B1F2DAB" w14:textId="117CE3F2"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8,722</w:t>
            </w:r>
          </w:p>
        </w:tc>
      </w:tr>
      <w:tr w:rsidR="002F10C6" w:rsidRPr="00D62E0E" w14:paraId="273F6234"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602CCC6D" w14:textId="45A71F56" w:rsidR="002F10C6" w:rsidRPr="002F10C6" w:rsidRDefault="002F10C6" w:rsidP="002F10C6">
            <w:r w:rsidRPr="002F10C6">
              <w:t>12</w:t>
            </w:r>
          </w:p>
        </w:tc>
        <w:tc>
          <w:tcPr>
            <w:tcW w:w="0" w:type="auto"/>
            <w:vAlign w:val="top"/>
          </w:tcPr>
          <w:p w14:paraId="31AB50FC" w14:textId="3769F3CB"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HIS 1220</w:t>
            </w:r>
          </w:p>
        </w:tc>
        <w:tc>
          <w:tcPr>
            <w:tcW w:w="0" w:type="auto"/>
            <w:vAlign w:val="top"/>
          </w:tcPr>
          <w:p w14:paraId="144E8FCB" w14:textId="76BA8C82"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 xml:space="preserve">US History since Civil </w:t>
            </w:r>
            <w:proofErr w:type="gramStart"/>
            <w:r w:rsidRPr="002F10C6">
              <w:t>War:HI</w:t>
            </w:r>
            <w:proofErr w:type="gramEnd"/>
            <w:r w:rsidRPr="002F10C6">
              <w:t>1</w:t>
            </w:r>
          </w:p>
        </w:tc>
        <w:tc>
          <w:tcPr>
            <w:tcW w:w="0" w:type="auto"/>
            <w:vAlign w:val="top"/>
          </w:tcPr>
          <w:p w14:paraId="24EF13B9" w14:textId="6DAD484A"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7,150</w:t>
            </w:r>
          </w:p>
        </w:tc>
      </w:tr>
      <w:tr w:rsidR="002F10C6" w:rsidRPr="00D62E0E" w14:paraId="229505E6"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75131B18" w14:textId="4A100F10" w:rsidR="002F10C6" w:rsidRPr="002F10C6" w:rsidRDefault="002F10C6" w:rsidP="002F10C6">
            <w:r w:rsidRPr="002F10C6">
              <w:t>13</w:t>
            </w:r>
          </w:p>
        </w:tc>
        <w:tc>
          <w:tcPr>
            <w:tcW w:w="0" w:type="auto"/>
            <w:vAlign w:val="top"/>
          </w:tcPr>
          <w:p w14:paraId="79035556" w14:textId="651EAFBA"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ART 1110</w:t>
            </w:r>
          </w:p>
        </w:tc>
        <w:tc>
          <w:tcPr>
            <w:tcW w:w="0" w:type="auto"/>
            <w:vAlign w:val="top"/>
          </w:tcPr>
          <w:p w14:paraId="0FEDBA8F" w14:textId="65486762"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Art Appreciation: AH1</w:t>
            </w:r>
          </w:p>
        </w:tc>
        <w:tc>
          <w:tcPr>
            <w:tcW w:w="0" w:type="auto"/>
            <w:vAlign w:val="top"/>
          </w:tcPr>
          <w:p w14:paraId="2E1AAC3C" w14:textId="25B2FB43"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6,978</w:t>
            </w:r>
          </w:p>
        </w:tc>
      </w:tr>
      <w:tr w:rsidR="002F10C6" w:rsidRPr="00D62E0E" w14:paraId="049ADDBF"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155F771E" w14:textId="4439A049" w:rsidR="002F10C6" w:rsidRPr="002F10C6" w:rsidRDefault="002F10C6" w:rsidP="002F10C6">
            <w:r w:rsidRPr="002F10C6">
              <w:t>14</w:t>
            </w:r>
          </w:p>
        </w:tc>
        <w:tc>
          <w:tcPr>
            <w:tcW w:w="0" w:type="auto"/>
            <w:vAlign w:val="top"/>
          </w:tcPr>
          <w:p w14:paraId="0A6973D2" w14:textId="71C6D753"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MAT 1240</w:t>
            </w:r>
          </w:p>
        </w:tc>
        <w:tc>
          <w:tcPr>
            <w:tcW w:w="0" w:type="auto"/>
            <w:vAlign w:val="top"/>
          </w:tcPr>
          <w:p w14:paraId="0A8D026E" w14:textId="743F7DF1"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Math for Liberal Arts: MA1</w:t>
            </w:r>
          </w:p>
        </w:tc>
        <w:tc>
          <w:tcPr>
            <w:tcW w:w="0" w:type="auto"/>
            <w:vAlign w:val="top"/>
          </w:tcPr>
          <w:p w14:paraId="5EA2DFD8" w14:textId="42CF6AE1"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6,769</w:t>
            </w:r>
          </w:p>
        </w:tc>
      </w:tr>
      <w:tr w:rsidR="002F10C6" w:rsidRPr="00D62E0E" w14:paraId="2CE2FD05"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56787DDC" w14:textId="1B11674F" w:rsidR="002F10C6" w:rsidRPr="002F10C6" w:rsidRDefault="002F10C6" w:rsidP="002F10C6">
            <w:r w:rsidRPr="002F10C6">
              <w:t>15</w:t>
            </w:r>
          </w:p>
        </w:tc>
        <w:tc>
          <w:tcPr>
            <w:tcW w:w="0" w:type="auto"/>
            <w:vAlign w:val="top"/>
          </w:tcPr>
          <w:p w14:paraId="6781392F" w14:textId="05B507E9"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HUM 1015</w:t>
            </w:r>
          </w:p>
        </w:tc>
        <w:tc>
          <w:tcPr>
            <w:tcW w:w="0" w:type="auto"/>
            <w:vAlign w:val="top"/>
          </w:tcPr>
          <w:p w14:paraId="637BBF3A" w14:textId="0CFD30B1"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World Mythology: AH2</w:t>
            </w:r>
          </w:p>
        </w:tc>
        <w:tc>
          <w:tcPr>
            <w:tcW w:w="0" w:type="auto"/>
            <w:vAlign w:val="top"/>
          </w:tcPr>
          <w:p w14:paraId="1D63F747" w14:textId="6841AEDF"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6,781</w:t>
            </w:r>
          </w:p>
        </w:tc>
      </w:tr>
      <w:tr w:rsidR="002F10C6" w:rsidRPr="00D62E0E" w14:paraId="6B745FAD"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092BB32D" w14:textId="6A87566C" w:rsidR="002F10C6" w:rsidRPr="002F10C6" w:rsidRDefault="002F10C6" w:rsidP="002F10C6">
            <w:r w:rsidRPr="002F10C6">
              <w:t>16</w:t>
            </w:r>
          </w:p>
        </w:tc>
        <w:tc>
          <w:tcPr>
            <w:tcW w:w="0" w:type="auto"/>
            <w:vAlign w:val="top"/>
          </w:tcPr>
          <w:p w14:paraId="6C857706" w14:textId="650B60B2"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ECO 2001</w:t>
            </w:r>
          </w:p>
        </w:tc>
        <w:tc>
          <w:tcPr>
            <w:tcW w:w="0" w:type="auto"/>
            <w:vAlign w:val="top"/>
          </w:tcPr>
          <w:p w14:paraId="57340B6D" w14:textId="00898959"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Prin of Macroeconomics: SS1</w:t>
            </w:r>
          </w:p>
        </w:tc>
        <w:tc>
          <w:tcPr>
            <w:tcW w:w="0" w:type="auto"/>
            <w:vAlign w:val="top"/>
          </w:tcPr>
          <w:p w14:paraId="02A74452" w14:textId="3766D866"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6,424</w:t>
            </w:r>
          </w:p>
        </w:tc>
      </w:tr>
      <w:tr w:rsidR="002F10C6" w:rsidRPr="00D62E0E" w14:paraId="01CC51A7"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1BAF4E26" w14:textId="1665262C" w:rsidR="002F10C6" w:rsidRPr="002F10C6" w:rsidRDefault="002F10C6" w:rsidP="002F10C6">
            <w:r w:rsidRPr="002F10C6">
              <w:t>17</w:t>
            </w:r>
          </w:p>
        </w:tc>
        <w:tc>
          <w:tcPr>
            <w:tcW w:w="0" w:type="auto"/>
            <w:vAlign w:val="top"/>
          </w:tcPr>
          <w:p w14:paraId="2F55CC71" w14:textId="417629CC"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HIS 1210</w:t>
            </w:r>
          </w:p>
        </w:tc>
        <w:tc>
          <w:tcPr>
            <w:tcW w:w="0" w:type="auto"/>
            <w:vAlign w:val="top"/>
          </w:tcPr>
          <w:p w14:paraId="0990CD37" w14:textId="6D2E5059"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 xml:space="preserve">US History to </w:t>
            </w:r>
            <w:proofErr w:type="spellStart"/>
            <w:r w:rsidRPr="002F10C6">
              <w:t>Reconst</w:t>
            </w:r>
            <w:proofErr w:type="spellEnd"/>
            <w:r w:rsidRPr="002F10C6">
              <w:t>: HI1</w:t>
            </w:r>
          </w:p>
        </w:tc>
        <w:tc>
          <w:tcPr>
            <w:tcW w:w="0" w:type="auto"/>
            <w:vAlign w:val="top"/>
          </w:tcPr>
          <w:p w14:paraId="131D795F" w14:textId="24CD4CFC"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6,385</w:t>
            </w:r>
          </w:p>
        </w:tc>
      </w:tr>
      <w:tr w:rsidR="002F10C6" w:rsidRPr="00D62E0E" w14:paraId="733E426C"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5E97AA4D" w14:textId="36872970" w:rsidR="002F10C6" w:rsidRPr="002F10C6" w:rsidRDefault="002F10C6" w:rsidP="002F10C6">
            <w:r w:rsidRPr="002F10C6">
              <w:t>18</w:t>
            </w:r>
          </w:p>
        </w:tc>
        <w:tc>
          <w:tcPr>
            <w:tcW w:w="0" w:type="auto"/>
            <w:vAlign w:val="top"/>
          </w:tcPr>
          <w:p w14:paraId="7B6D24E9" w14:textId="7A4D7F6E"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MAT 1420</w:t>
            </w:r>
          </w:p>
        </w:tc>
        <w:tc>
          <w:tcPr>
            <w:tcW w:w="0" w:type="auto"/>
            <w:vAlign w:val="top"/>
          </w:tcPr>
          <w:p w14:paraId="252DEFCA" w14:textId="0A1EA5B0"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College Trigonometry: MA1</w:t>
            </w:r>
          </w:p>
        </w:tc>
        <w:tc>
          <w:tcPr>
            <w:tcW w:w="0" w:type="auto"/>
            <w:vAlign w:val="top"/>
          </w:tcPr>
          <w:p w14:paraId="6E54D6A5" w14:textId="54C6F4D4"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6,416</w:t>
            </w:r>
          </w:p>
        </w:tc>
      </w:tr>
      <w:tr w:rsidR="002F10C6" w:rsidRPr="00D62E0E" w14:paraId="0F0E7BD4"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3079E9A6" w14:textId="39B13880" w:rsidR="002F10C6" w:rsidRPr="002F10C6" w:rsidRDefault="002F10C6" w:rsidP="002F10C6">
            <w:r w:rsidRPr="002F10C6">
              <w:t>19</w:t>
            </w:r>
          </w:p>
        </w:tc>
        <w:tc>
          <w:tcPr>
            <w:tcW w:w="0" w:type="auto"/>
            <w:vAlign w:val="top"/>
          </w:tcPr>
          <w:p w14:paraId="50055DB8" w14:textId="5ED16116"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ECO 2002</w:t>
            </w:r>
          </w:p>
        </w:tc>
        <w:tc>
          <w:tcPr>
            <w:tcW w:w="0" w:type="auto"/>
            <w:vAlign w:val="top"/>
          </w:tcPr>
          <w:p w14:paraId="78E94291" w14:textId="218679FC"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Prin of Microeconomics: SS1</w:t>
            </w:r>
          </w:p>
        </w:tc>
        <w:tc>
          <w:tcPr>
            <w:tcW w:w="0" w:type="auto"/>
            <w:vAlign w:val="top"/>
          </w:tcPr>
          <w:p w14:paraId="27ABB601" w14:textId="3F028F17"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5,846</w:t>
            </w:r>
          </w:p>
        </w:tc>
      </w:tr>
      <w:tr w:rsidR="002F10C6" w:rsidRPr="00D62E0E" w14:paraId="175DD06A"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6F04722C" w14:textId="05112011" w:rsidR="002F10C6" w:rsidRPr="002F10C6" w:rsidRDefault="002F10C6" w:rsidP="002F10C6">
            <w:r w:rsidRPr="002F10C6">
              <w:t>20</w:t>
            </w:r>
          </w:p>
        </w:tc>
        <w:tc>
          <w:tcPr>
            <w:tcW w:w="0" w:type="auto"/>
            <w:vAlign w:val="top"/>
          </w:tcPr>
          <w:p w14:paraId="189CE21F" w14:textId="7D07F06F"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MAT 2410</w:t>
            </w:r>
          </w:p>
        </w:tc>
        <w:tc>
          <w:tcPr>
            <w:tcW w:w="0" w:type="auto"/>
            <w:vAlign w:val="top"/>
          </w:tcPr>
          <w:p w14:paraId="559B7489" w14:textId="349FBE5F"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Calculus I: MA1</w:t>
            </w:r>
          </w:p>
        </w:tc>
        <w:tc>
          <w:tcPr>
            <w:tcW w:w="0" w:type="auto"/>
            <w:vAlign w:val="top"/>
          </w:tcPr>
          <w:p w14:paraId="47D28B3A" w14:textId="6F5719A7"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5,349</w:t>
            </w:r>
          </w:p>
        </w:tc>
      </w:tr>
      <w:tr w:rsidR="002F10C6" w:rsidRPr="00D62E0E" w14:paraId="2907FA42"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188C386B" w14:textId="321876DE" w:rsidR="002F10C6" w:rsidRPr="002F10C6" w:rsidRDefault="002F10C6" w:rsidP="002F10C6">
            <w:r w:rsidRPr="002F10C6">
              <w:t>21</w:t>
            </w:r>
          </w:p>
        </w:tc>
        <w:tc>
          <w:tcPr>
            <w:tcW w:w="0" w:type="auto"/>
            <w:vAlign w:val="top"/>
          </w:tcPr>
          <w:p w14:paraId="565D19B4" w14:textId="6F94E1A9"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BIO 2102</w:t>
            </w:r>
          </w:p>
        </w:tc>
        <w:tc>
          <w:tcPr>
            <w:tcW w:w="0" w:type="auto"/>
            <w:vAlign w:val="top"/>
          </w:tcPr>
          <w:p w14:paraId="4CAFF2C2" w14:textId="3DA20762"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 xml:space="preserve">Human </w:t>
            </w:r>
            <w:proofErr w:type="spellStart"/>
            <w:r w:rsidRPr="002F10C6">
              <w:t>Anatomy&amp;Phys</w:t>
            </w:r>
            <w:proofErr w:type="spellEnd"/>
            <w:r w:rsidRPr="002F10C6">
              <w:t xml:space="preserve"> </w:t>
            </w:r>
            <w:proofErr w:type="spellStart"/>
            <w:r w:rsidRPr="002F10C6">
              <w:t>IIw</w:t>
            </w:r>
            <w:proofErr w:type="spellEnd"/>
            <w:r w:rsidRPr="002F10C6">
              <w:t>/Lab:SC1</w:t>
            </w:r>
          </w:p>
        </w:tc>
        <w:tc>
          <w:tcPr>
            <w:tcW w:w="0" w:type="auto"/>
            <w:vAlign w:val="top"/>
          </w:tcPr>
          <w:p w14:paraId="1500CEE7" w14:textId="0C01FF2A"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5,520</w:t>
            </w:r>
          </w:p>
        </w:tc>
      </w:tr>
      <w:tr w:rsidR="002F10C6" w:rsidRPr="00D62E0E" w14:paraId="35A0B419"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5E0990D5" w14:textId="7129EA56" w:rsidR="002F10C6" w:rsidRPr="002F10C6" w:rsidRDefault="002F10C6" w:rsidP="002F10C6">
            <w:r w:rsidRPr="002F10C6">
              <w:t>22</w:t>
            </w:r>
          </w:p>
        </w:tc>
        <w:tc>
          <w:tcPr>
            <w:tcW w:w="0" w:type="auto"/>
            <w:vAlign w:val="top"/>
          </w:tcPr>
          <w:p w14:paraId="30063297" w14:textId="700FDB7A"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PHI 1011</w:t>
            </w:r>
          </w:p>
        </w:tc>
        <w:tc>
          <w:tcPr>
            <w:tcW w:w="0" w:type="auto"/>
            <w:vAlign w:val="top"/>
          </w:tcPr>
          <w:p w14:paraId="78CFA451" w14:textId="2B63C970"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Intro to Philosophy: AH3</w:t>
            </w:r>
          </w:p>
        </w:tc>
        <w:tc>
          <w:tcPr>
            <w:tcW w:w="0" w:type="auto"/>
            <w:vAlign w:val="top"/>
          </w:tcPr>
          <w:p w14:paraId="50DFB2FB" w14:textId="2E3399BE"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5,384</w:t>
            </w:r>
          </w:p>
        </w:tc>
      </w:tr>
      <w:tr w:rsidR="002F10C6" w:rsidRPr="00D62E0E" w14:paraId="5C96914C"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09E1521F" w14:textId="1750F564" w:rsidR="002F10C6" w:rsidRPr="002F10C6" w:rsidRDefault="002F10C6" w:rsidP="002F10C6">
            <w:r w:rsidRPr="002F10C6">
              <w:t>23</w:t>
            </w:r>
          </w:p>
        </w:tc>
        <w:tc>
          <w:tcPr>
            <w:tcW w:w="0" w:type="auto"/>
            <w:vAlign w:val="top"/>
          </w:tcPr>
          <w:p w14:paraId="24182D14" w14:textId="17E2BC92"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CRJ 1010</w:t>
            </w:r>
          </w:p>
        </w:tc>
        <w:tc>
          <w:tcPr>
            <w:tcW w:w="0" w:type="auto"/>
            <w:vAlign w:val="top"/>
          </w:tcPr>
          <w:p w14:paraId="4E862C7C" w14:textId="7068EC33"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Intro to Criminal Justice: SS3</w:t>
            </w:r>
          </w:p>
        </w:tc>
        <w:tc>
          <w:tcPr>
            <w:tcW w:w="0" w:type="auto"/>
            <w:vAlign w:val="top"/>
          </w:tcPr>
          <w:p w14:paraId="0C65712F" w14:textId="043A657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5,044</w:t>
            </w:r>
          </w:p>
        </w:tc>
      </w:tr>
      <w:tr w:rsidR="002F10C6" w:rsidRPr="00D62E0E" w14:paraId="5C030109"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4328B588" w14:textId="7A4BA370" w:rsidR="002F10C6" w:rsidRPr="002F10C6" w:rsidRDefault="002F10C6" w:rsidP="002F10C6">
            <w:r w:rsidRPr="002F10C6">
              <w:t>24</w:t>
            </w:r>
          </w:p>
        </w:tc>
        <w:tc>
          <w:tcPr>
            <w:tcW w:w="0" w:type="auto"/>
            <w:vAlign w:val="top"/>
          </w:tcPr>
          <w:p w14:paraId="0BC8F8E1" w14:textId="42C9F27A"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PSY 1002</w:t>
            </w:r>
          </w:p>
        </w:tc>
        <w:tc>
          <w:tcPr>
            <w:tcW w:w="0" w:type="auto"/>
            <w:vAlign w:val="top"/>
          </w:tcPr>
          <w:p w14:paraId="38007461" w14:textId="586816A6"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 xml:space="preserve">General Psychology </w:t>
            </w:r>
            <w:proofErr w:type="gramStart"/>
            <w:r w:rsidRPr="002F10C6">
              <w:t>II :</w:t>
            </w:r>
            <w:proofErr w:type="gramEnd"/>
            <w:r w:rsidRPr="002F10C6">
              <w:t xml:space="preserve"> SS3</w:t>
            </w:r>
          </w:p>
        </w:tc>
        <w:tc>
          <w:tcPr>
            <w:tcW w:w="0" w:type="auto"/>
            <w:vAlign w:val="top"/>
          </w:tcPr>
          <w:p w14:paraId="047D8043" w14:textId="2C39C076"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5,074</w:t>
            </w:r>
          </w:p>
        </w:tc>
      </w:tr>
      <w:tr w:rsidR="002F10C6" w:rsidRPr="00D62E0E" w14:paraId="26527851"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5A47DF83" w14:textId="44DE714D" w:rsidR="002F10C6" w:rsidRPr="002F10C6" w:rsidRDefault="002F10C6" w:rsidP="002F10C6">
            <w:r w:rsidRPr="002F10C6">
              <w:t>25</w:t>
            </w:r>
          </w:p>
        </w:tc>
        <w:tc>
          <w:tcPr>
            <w:tcW w:w="0" w:type="auto"/>
            <w:vAlign w:val="top"/>
          </w:tcPr>
          <w:p w14:paraId="125688B3" w14:textId="24AD617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BIO 2104</w:t>
            </w:r>
          </w:p>
        </w:tc>
        <w:tc>
          <w:tcPr>
            <w:tcW w:w="0" w:type="auto"/>
            <w:vAlign w:val="top"/>
          </w:tcPr>
          <w:p w14:paraId="1CC6F8EC" w14:textId="2A8067BF"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Microbiology w/Lab: SC1</w:t>
            </w:r>
          </w:p>
        </w:tc>
        <w:tc>
          <w:tcPr>
            <w:tcW w:w="0" w:type="auto"/>
            <w:vAlign w:val="top"/>
          </w:tcPr>
          <w:p w14:paraId="18482A90" w14:textId="1B18E49A"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4,932</w:t>
            </w:r>
          </w:p>
        </w:tc>
      </w:tr>
      <w:tr w:rsidR="002F10C6" w:rsidRPr="00D62E0E" w14:paraId="13DD247B"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39A3ED78" w14:textId="25CD2ED1" w:rsidR="002F10C6" w:rsidRPr="002F10C6" w:rsidRDefault="002F10C6" w:rsidP="002F10C6">
            <w:r w:rsidRPr="002F10C6">
              <w:t>26</w:t>
            </w:r>
          </w:p>
        </w:tc>
        <w:tc>
          <w:tcPr>
            <w:tcW w:w="0" w:type="auto"/>
            <w:vAlign w:val="top"/>
          </w:tcPr>
          <w:p w14:paraId="60D9D93A" w14:textId="4B89E13D"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MAT 1440</w:t>
            </w:r>
          </w:p>
        </w:tc>
        <w:tc>
          <w:tcPr>
            <w:tcW w:w="0" w:type="auto"/>
            <w:vAlign w:val="top"/>
          </w:tcPr>
          <w:p w14:paraId="206F6E99" w14:textId="0392CEC9"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Pre-Calculus: MA1</w:t>
            </w:r>
          </w:p>
        </w:tc>
        <w:tc>
          <w:tcPr>
            <w:tcW w:w="0" w:type="auto"/>
            <w:vAlign w:val="top"/>
          </w:tcPr>
          <w:p w14:paraId="6DF2A5F7" w14:textId="32139E88"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4,514</w:t>
            </w:r>
          </w:p>
        </w:tc>
      </w:tr>
      <w:tr w:rsidR="002F10C6" w:rsidRPr="00D62E0E" w14:paraId="132B1826"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1046C776" w14:textId="774A3554" w:rsidR="002F10C6" w:rsidRPr="002F10C6" w:rsidRDefault="002F10C6" w:rsidP="002F10C6">
            <w:r w:rsidRPr="002F10C6">
              <w:t>27</w:t>
            </w:r>
          </w:p>
        </w:tc>
        <w:tc>
          <w:tcPr>
            <w:tcW w:w="0" w:type="auto"/>
            <w:vAlign w:val="top"/>
          </w:tcPr>
          <w:p w14:paraId="065EB61D" w14:textId="74ECDB50"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ENG 2021</w:t>
            </w:r>
          </w:p>
        </w:tc>
        <w:tc>
          <w:tcPr>
            <w:tcW w:w="0" w:type="auto"/>
            <w:vAlign w:val="top"/>
          </w:tcPr>
          <w:p w14:paraId="7A7D2B82" w14:textId="3DA67962"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Creative Writing I: AH1</w:t>
            </w:r>
          </w:p>
        </w:tc>
        <w:tc>
          <w:tcPr>
            <w:tcW w:w="0" w:type="auto"/>
            <w:vAlign w:val="top"/>
          </w:tcPr>
          <w:p w14:paraId="2EFB042D" w14:textId="368B7F0A"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4,672</w:t>
            </w:r>
          </w:p>
        </w:tc>
      </w:tr>
      <w:tr w:rsidR="002F10C6" w:rsidRPr="00D62E0E" w14:paraId="0DAF19C5"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356B44F8" w14:textId="117C5517" w:rsidR="002F10C6" w:rsidRPr="002F10C6" w:rsidRDefault="002F10C6" w:rsidP="002F10C6">
            <w:r w:rsidRPr="002F10C6">
              <w:lastRenderedPageBreak/>
              <w:t>28</w:t>
            </w:r>
          </w:p>
        </w:tc>
        <w:tc>
          <w:tcPr>
            <w:tcW w:w="0" w:type="auto"/>
            <w:vAlign w:val="top"/>
          </w:tcPr>
          <w:p w14:paraId="6F41BEE6" w14:textId="69D90182"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CHE 1011</w:t>
            </w:r>
          </w:p>
        </w:tc>
        <w:tc>
          <w:tcPr>
            <w:tcW w:w="0" w:type="auto"/>
            <w:vAlign w:val="top"/>
          </w:tcPr>
          <w:p w14:paraId="48457178" w14:textId="451BD43C"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Intro to Chemistry I/Lab: SC1</w:t>
            </w:r>
          </w:p>
        </w:tc>
        <w:tc>
          <w:tcPr>
            <w:tcW w:w="0" w:type="auto"/>
            <w:vAlign w:val="top"/>
          </w:tcPr>
          <w:p w14:paraId="2B1EE26F" w14:textId="57A9CCE0"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4,885</w:t>
            </w:r>
          </w:p>
        </w:tc>
      </w:tr>
      <w:tr w:rsidR="002F10C6" w:rsidRPr="00D62E0E" w14:paraId="0F806666"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36E051D0" w14:textId="4BE501FD" w:rsidR="002F10C6" w:rsidRPr="002F10C6" w:rsidRDefault="002F10C6" w:rsidP="002F10C6">
            <w:r w:rsidRPr="002F10C6">
              <w:t>29</w:t>
            </w:r>
          </w:p>
        </w:tc>
        <w:tc>
          <w:tcPr>
            <w:tcW w:w="0" w:type="auto"/>
            <w:vAlign w:val="top"/>
          </w:tcPr>
          <w:p w14:paraId="56AF72DA" w14:textId="2B8A23D3"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POS 1011</w:t>
            </w:r>
          </w:p>
        </w:tc>
        <w:tc>
          <w:tcPr>
            <w:tcW w:w="0" w:type="auto"/>
            <w:vAlign w:val="top"/>
          </w:tcPr>
          <w:p w14:paraId="23D5EA51" w14:textId="6D8D121E"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American Government: SS1</w:t>
            </w:r>
          </w:p>
        </w:tc>
        <w:tc>
          <w:tcPr>
            <w:tcW w:w="0" w:type="auto"/>
            <w:vAlign w:val="top"/>
          </w:tcPr>
          <w:p w14:paraId="608AE616" w14:textId="57FCF92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2,494</w:t>
            </w:r>
          </w:p>
        </w:tc>
      </w:tr>
      <w:tr w:rsidR="002F10C6" w:rsidRPr="00D62E0E" w14:paraId="41D2A103"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3E8CC093" w14:textId="4877DA0A" w:rsidR="002F10C6" w:rsidRPr="002F10C6" w:rsidRDefault="002F10C6" w:rsidP="002F10C6">
            <w:r w:rsidRPr="002F10C6">
              <w:t>29</w:t>
            </w:r>
          </w:p>
        </w:tc>
        <w:tc>
          <w:tcPr>
            <w:tcW w:w="0" w:type="auto"/>
            <w:vAlign w:val="top"/>
          </w:tcPr>
          <w:p w14:paraId="38C4A909" w14:textId="38F48554"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PSC 1011</w:t>
            </w:r>
          </w:p>
        </w:tc>
        <w:tc>
          <w:tcPr>
            <w:tcW w:w="0" w:type="auto"/>
            <w:vAlign w:val="top"/>
          </w:tcPr>
          <w:p w14:paraId="6B958BBE" w14:textId="17ABBD3D"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American Government: SS1</w:t>
            </w:r>
          </w:p>
        </w:tc>
        <w:tc>
          <w:tcPr>
            <w:tcW w:w="0" w:type="auto"/>
            <w:vAlign w:val="top"/>
          </w:tcPr>
          <w:p w14:paraId="631EF12E" w14:textId="328778D8"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2,468</w:t>
            </w:r>
          </w:p>
        </w:tc>
      </w:tr>
      <w:tr w:rsidR="002F10C6" w:rsidRPr="00D62E0E" w14:paraId="5BAD5580"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7E25E8F1" w14:textId="23B5FCAC" w:rsidR="002F10C6" w:rsidRPr="002F10C6" w:rsidRDefault="002F10C6" w:rsidP="002F10C6">
            <w:r w:rsidRPr="002F10C6">
              <w:t>30</w:t>
            </w:r>
          </w:p>
        </w:tc>
        <w:tc>
          <w:tcPr>
            <w:tcW w:w="0" w:type="auto"/>
            <w:vAlign w:val="top"/>
          </w:tcPr>
          <w:p w14:paraId="0F664E3B" w14:textId="17AB1EEA"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PHI 1012</w:t>
            </w:r>
          </w:p>
        </w:tc>
        <w:tc>
          <w:tcPr>
            <w:tcW w:w="0" w:type="auto"/>
            <w:vAlign w:val="top"/>
          </w:tcPr>
          <w:p w14:paraId="62D3D777" w14:textId="1ACDB4FA"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proofErr w:type="gramStart"/>
            <w:r w:rsidRPr="002F10C6">
              <w:t>Ethics:AH</w:t>
            </w:r>
            <w:proofErr w:type="gramEnd"/>
            <w:r w:rsidRPr="002F10C6">
              <w:t>3</w:t>
            </w:r>
          </w:p>
        </w:tc>
        <w:tc>
          <w:tcPr>
            <w:tcW w:w="0" w:type="auto"/>
            <w:vAlign w:val="top"/>
          </w:tcPr>
          <w:p w14:paraId="73FDEC9C" w14:textId="60A4969D"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4,180</w:t>
            </w:r>
          </w:p>
        </w:tc>
      </w:tr>
      <w:tr w:rsidR="002F10C6" w:rsidRPr="00D62E0E" w14:paraId="61907C68"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618698B4" w14:textId="7F019B9C" w:rsidR="002F10C6" w:rsidRPr="002F10C6" w:rsidRDefault="002F10C6" w:rsidP="002F10C6">
            <w:r w:rsidRPr="002F10C6">
              <w:t>31</w:t>
            </w:r>
          </w:p>
        </w:tc>
        <w:tc>
          <w:tcPr>
            <w:tcW w:w="0" w:type="auto"/>
            <w:vAlign w:val="top"/>
          </w:tcPr>
          <w:p w14:paraId="039D236F" w14:textId="7BBBBD35"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CHE 1111</w:t>
            </w:r>
          </w:p>
        </w:tc>
        <w:tc>
          <w:tcPr>
            <w:tcW w:w="0" w:type="auto"/>
            <w:vAlign w:val="top"/>
          </w:tcPr>
          <w:p w14:paraId="3E651E55" w14:textId="6C569F19"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Gen College Chem I/Lab: SC1</w:t>
            </w:r>
          </w:p>
        </w:tc>
        <w:tc>
          <w:tcPr>
            <w:tcW w:w="0" w:type="auto"/>
            <w:vAlign w:val="top"/>
          </w:tcPr>
          <w:p w14:paraId="484987E2" w14:textId="5222843B"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3,538</w:t>
            </w:r>
          </w:p>
        </w:tc>
      </w:tr>
      <w:tr w:rsidR="002F10C6" w:rsidRPr="00D62E0E" w14:paraId="075665B8"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2127A338" w14:textId="18890423" w:rsidR="002F10C6" w:rsidRPr="002F10C6" w:rsidRDefault="002F10C6" w:rsidP="002F10C6">
            <w:r w:rsidRPr="002F10C6">
              <w:t>32</w:t>
            </w:r>
          </w:p>
        </w:tc>
        <w:tc>
          <w:tcPr>
            <w:tcW w:w="0" w:type="auto"/>
            <w:vAlign w:val="top"/>
          </w:tcPr>
          <w:p w14:paraId="08AD623B" w14:textId="5B706058"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MUS 1020</w:t>
            </w:r>
          </w:p>
        </w:tc>
        <w:tc>
          <w:tcPr>
            <w:tcW w:w="0" w:type="auto"/>
            <w:vAlign w:val="top"/>
          </w:tcPr>
          <w:p w14:paraId="7E9E1E76" w14:textId="012D0190"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Music Appreciation: AH1</w:t>
            </w:r>
          </w:p>
        </w:tc>
        <w:tc>
          <w:tcPr>
            <w:tcW w:w="0" w:type="auto"/>
            <w:vAlign w:val="top"/>
          </w:tcPr>
          <w:p w14:paraId="13039B71" w14:textId="36A1B2E0"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3,477</w:t>
            </w:r>
          </w:p>
        </w:tc>
      </w:tr>
      <w:tr w:rsidR="002F10C6" w:rsidRPr="00D62E0E" w14:paraId="7CF5FF47"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60490B95" w14:textId="044F3C82" w:rsidR="002F10C6" w:rsidRPr="002F10C6" w:rsidRDefault="002F10C6" w:rsidP="002F10C6">
            <w:r w:rsidRPr="002F10C6">
              <w:t>33</w:t>
            </w:r>
          </w:p>
        </w:tc>
        <w:tc>
          <w:tcPr>
            <w:tcW w:w="0" w:type="auto"/>
            <w:vAlign w:val="top"/>
          </w:tcPr>
          <w:p w14:paraId="6D4E2C97" w14:textId="6ED1087D"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HIS 2015</w:t>
            </w:r>
          </w:p>
        </w:tc>
        <w:tc>
          <w:tcPr>
            <w:tcW w:w="0" w:type="auto"/>
            <w:vAlign w:val="top"/>
          </w:tcPr>
          <w:p w14:paraId="6B119869" w14:textId="643F8544"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 xml:space="preserve">20th Century World </w:t>
            </w:r>
            <w:proofErr w:type="gramStart"/>
            <w:r w:rsidRPr="002F10C6">
              <w:t>History:HI</w:t>
            </w:r>
            <w:proofErr w:type="gramEnd"/>
            <w:r w:rsidRPr="002F10C6">
              <w:t>1</w:t>
            </w:r>
          </w:p>
        </w:tc>
        <w:tc>
          <w:tcPr>
            <w:tcW w:w="0" w:type="auto"/>
            <w:vAlign w:val="top"/>
          </w:tcPr>
          <w:p w14:paraId="1D10E237" w14:textId="73E8643B"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3,125</w:t>
            </w:r>
          </w:p>
        </w:tc>
      </w:tr>
      <w:tr w:rsidR="002F10C6" w:rsidRPr="00D62E0E" w14:paraId="6F28DC93"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1CE45049" w14:textId="0DA2F51B" w:rsidR="002F10C6" w:rsidRPr="002F10C6" w:rsidRDefault="002F10C6" w:rsidP="002F10C6">
            <w:r w:rsidRPr="002F10C6">
              <w:t>34</w:t>
            </w:r>
          </w:p>
        </w:tc>
        <w:tc>
          <w:tcPr>
            <w:tcW w:w="0" w:type="auto"/>
            <w:vAlign w:val="top"/>
          </w:tcPr>
          <w:p w14:paraId="7DE8BBEF" w14:textId="3FA1D078"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MAT 2420</w:t>
            </w:r>
          </w:p>
        </w:tc>
        <w:tc>
          <w:tcPr>
            <w:tcW w:w="0" w:type="auto"/>
            <w:vAlign w:val="top"/>
          </w:tcPr>
          <w:p w14:paraId="647EC199" w14:textId="3DC76642"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 xml:space="preserve">Calculus </w:t>
            </w:r>
            <w:proofErr w:type="gramStart"/>
            <w:r w:rsidRPr="002F10C6">
              <w:t>II :</w:t>
            </w:r>
            <w:proofErr w:type="gramEnd"/>
            <w:r w:rsidRPr="002F10C6">
              <w:t xml:space="preserve"> MA1</w:t>
            </w:r>
          </w:p>
        </w:tc>
        <w:tc>
          <w:tcPr>
            <w:tcW w:w="0" w:type="auto"/>
            <w:vAlign w:val="top"/>
          </w:tcPr>
          <w:p w14:paraId="6DD5FB7F" w14:textId="25AAC393"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2,990</w:t>
            </w:r>
          </w:p>
        </w:tc>
      </w:tr>
      <w:tr w:rsidR="002F10C6" w:rsidRPr="00D62E0E" w14:paraId="0B503EFA"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3AD1156F" w14:textId="208CC068" w:rsidR="002F10C6" w:rsidRPr="002F10C6" w:rsidRDefault="002F10C6" w:rsidP="002F10C6">
            <w:r w:rsidRPr="002F10C6">
              <w:t>35</w:t>
            </w:r>
          </w:p>
        </w:tc>
        <w:tc>
          <w:tcPr>
            <w:tcW w:w="0" w:type="auto"/>
            <w:vAlign w:val="top"/>
          </w:tcPr>
          <w:p w14:paraId="023007E3" w14:textId="52BE297A"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ENG 1031</w:t>
            </w:r>
          </w:p>
        </w:tc>
        <w:tc>
          <w:tcPr>
            <w:tcW w:w="0" w:type="auto"/>
            <w:vAlign w:val="top"/>
          </w:tcPr>
          <w:p w14:paraId="07AB4AA9" w14:textId="644A0309"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Technical Writing I: CO1</w:t>
            </w:r>
          </w:p>
        </w:tc>
        <w:tc>
          <w:tcPr>
            <w:tcW w:w="0" w:type="auto"/>
            <w:vAlign w:val="top"/>
          </w:tcPr>
          <w:p w14:paraId="515BFBE7" w14:textId="066368AF"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2,774</w:t>
            </w:r>
          </w:p>
        </w:tc>
      </w:tr>
      <w:tr w:rsidR="002F10C6" w:rsidRPr="00D62E0E" w14:paraId="36AA94C0"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671C0650" w14:textId="491957C0" w:rsidR="002F10C6" w:rsidRPr="002F10C6" w:rsidRDefault="002F10C6" w:rsidP="002F10C6">
            <w:r w:rsidRPr="002F10C6">
              <w:t>36</w:t>
            </w:r>
          </w:p>
        </w:tc>
        <w:tc>
          <w:tcPr>
            <w:tcW w:w="0" w:type="auto"/>
            <w:vAlign w:val="top"/>
          </w:tcPr>
          <w:p w14:paraId="392B1ED4" w14:textId="6C483DF5"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HIS 2135</w:t>
            </w:r>
          </w:p>
        </w:tc>
        <w:tc>
          <w:tcPr>
            <w:tcW w:w="0" w:type="auto"/>
            <w:vAlign w:val="top"/>
          </w:tcPr>
          <w:p w14:paraId="464A76D8" w14:textId="2A7DDEB6"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Colorado History: HI1</w:t>
            </w:r>
          </w:p>
        </w:tc>
        <w:tc>
          <w:tcPr>
            <w:tcW w:w="0" w:type="auto"/>
            <w:vAlign w:val="top"/>
          </w:tcPr>
          <w:p w14:paraId="31BE0F6A" w14:textId="39D5A597"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3,057</w:t>
            </w:r>
          </w:p>
        </w:tc>
      </w:tr>
      <w:tr w:rsidR="002F10C6" w:rsidRPr="00D62E0E" w14:paraId="2B70BFBC"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4AADD1D1" w14:textId="1F7856A2" w:rsidR="002F10C6" w:rsidRPr="002F10C6" w:rsidRDefault="002F10C6" w:rsidP="002F10C6">
            <w:r w:rsidRPr="002F10C6">
              <w:t>37</w:t>
            </w:r>
          </w:p>
        </w:tc>
        <w:tc>
          <w:tcPr>
            <w:tcW w:w="0" w:type="auto"/>
            <w:vAlign w:val="top"/>
          </w:tcPr>
          <w:p w14:paraId="095728E1" w14:textId="66A03554"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AST 1110</w:t>
            </w:r>
          </w:p>
        </w:tc>
        <w:tc>
          <w:tcPr>
            <w:tcW w:w="0" w:type="auto"/>
            <w:vAlign w:val="top"/>
          </w:tcPr>
          <w:p w14:paraId="6FC7ED11" w14:textId="2B2AC55D"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Planetary Astronomy w/Lab: SC1</w:t>
            </w:r>
          </w:p>
        </w:tc>
        <w:tc>
          <w:tcPr>
            <w:tcW w:w="0" w:type="auto"/>
            <w:vAlign w:val="top"/>
          </w:tcPr>
          <w:p w14:paraId="63DEA141" w14:textId="22E23F34"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2,969</w:t>
            </w:r>
          </w:p>
        </w:tc>
      </w:tr>
      <w:tr w:rsidR="002F10C6" w:rsidRPr="00D62E0E" w14:paraId="49EF03C5"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65E1C49D" w14:textId="71708A69" w:rsidR="002F10C6" w:rsidRPr="002F10C6" w:rsidRDefault="002F10C6" w:rsidP="002F10C6">
            <w:r w:rsidRPr="002F10C6">
              <w:t>38</w:t>
            </w:r>
          </w:p>
        </w:tc>
        <w:tc>
          <w:tcPr>
            <w:tcW w:w="0" w:type="auto"/>
            <w:vAlign w:val="top"/>
          </w:tcPr>
          <w:p w14:paraId="214096AD" w14:textId="057AC2ED"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ENV 1111</w:t>
            </w:r>
          </w:p>
        </w:tc>
        <w:tc>
          <w:tcPr>
            <w:tcW w:w="0" w:type="auto"/>
            <w:vAlign w:val="top"/>
          </w:tcPr>
          <w:p w14:paraId="45E123F1" w14:textId="5194BD69"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Environmental Sci w/Lab: SC1</w:t>
            </w:r>
          </w:p>
        </w:tc>
        <w:tc>
          <w:tcPr>
            <w:tcW w:w="0" w:type="auto"/>
            <w:vAlign w:val="top"/>
          </w:tcPr>
          <w:p w14:paraId="692CBE1F" w14:textId="523351A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2,883</w:t>
            </w:r>
          </w:p>
        </w:tc>
      </w:tr>
      <w:tr w:rsidR="002F10C6" w:rsidRPr="00D62E0E" w14:paraId="21B40B6E"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2D27981A" w14:textId="132744EB" w:rsidR="002F10C6" w:rsidRPr="002F10C6" w:rsidRDefault="002F10C6" w:rsidP="002F10C6">
            <w:r w:rsidRPr="002F10C6">
              <w:t>39</w:t>
            </w:r>
          </w:p>
        </w:tc>
        <w:tc>
          <w:tcPr>
            <w:tcW w:w="0" w:type="auto"/>
            <w:vAlign w:val="top"/>
          </w:tcPr>
          <w:p w14:paraId="6302E6CC" w14:textId="648BA98F"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BIO 1005</w:t>
            </w:r>
          </w:p>
        </w:tc>
        <w:tc>
          <w:tcPr>
            <w:tcW w:w="0" w:type="auto"/>
            <w:vAlign w:val="top"/>
          </w:tcPr>
          <w:p w14:paraId="015D19A6" w14:textId="5CF4CA02"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Science of Biology w/Lab: SC1</w:t>
            </w:r>
          </w:p>
        </w:tc>
        <w:tc>
          <w:tcPr>
            <w:tcW w:w="0" w:type="auto"/>
            <w:vAlign w:val="top"/>
          </w:tcPr>
          <w:p w14:paraId="6BAD9A3E" w14:textId="35F6A09E"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2,762</w:t>
            </w:r>
          </w:p>
        </w:tc>
      </w:tr>
      <w:tr w:rsidR="002F10C6" w:rsidRPr="00D62E0E" w14:paraId="020E992F"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732B8015" w14:textId="0517410D" w:rsidR="002F10C6" w:rsidRPr="002F10C6" w:rsidRDefault="002F10C6" w:rsidP="002F10C6">
            <w:r w:rsidRPr="002F10C6">
              <w:t>40</w:t>
            </w:r>
          </w:p>
        </w:tc>
        <w:tc>
          <w:tcPr>
            <w:tcW w:w="0" w:type="auto"/>
            <w:vAlign w:val="top"/>
          </w:tcPr>
          <w:p w14:paraId="66DD8C5B" w14:textId="682730D6"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GEO 1005</w:t>
            </w:r>
          </w:p>
        </w:tc>
        <w:tc>
          <w:tcPr>
            <w:tcW w:w="0" w:type="auto"/>
            <w:vAlign w:val="top"/>
          </w:tcPr>
          <w:p w14:paraId="5C5E5A18" w14:textId="42895EE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World Regional Geography: SS2</w:t>
            </w:r>
          </w:p>
        </w:tc>
        <w:tc>
          <w:tcPr>
            <w:tcW w:w="0" w:type="auto"/>
            <w:vAlign w:val="top"/>
          </w:tcPr>
          <w:p w14:paraId="2AB33F29" w14:textId="2B0A390E"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2,808</w:t>
            </w:r>
          </w:p>
        </w:tc>
      </w:tr>
      <w:tr w:rsidR="002F10C6" w:rsidRPr="00D62E0E" w14:paraId="75F1ED85"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08DD0D74" w14:textId="5D320A71" w:rsidR="002F10C6" w:rsidRPr="002F10C6" w:rsidRDefault="002F10C6" w:rsidP="002F10C6">
            <w:r w:rsidRPr="002F10C6">
              <w:t>41</w:t>
            </w:r>
          </w:p>
        </w:tc>
        <w:tc>
          <w:tcPr>
            <w:tcW w:w="0" w:type="auto"/>
            <w:vAlign w:val="top"/>
          </w:tcPr>
          <w:p w14:paraId="2359DD28" w14:textId="63C76618"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HIS 1120</w:t>
            </w:r>
          </w:p>
        </w:tc>
        <w:tc>
          <w:tcPr>
            <w:tcW w:w="0" w:type="auto"/>
            <w:vAlign w:val="top"/>
          </w:tcPr>
          <w:p w14:paraId="4985FBFB" w14:textId="73A486C6"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The World: 1500-Present: HI1</w:t>
            </w:r>
          </w:p>
        </w:tc>
        <w:tc>
          <w:tcPr>
            <w:tcW w:w="0" w:type="auto"/>
            <w:vAlign w:val="top"/>
          </w:tcPr>
          <w:p w14:paraId="3420ABB8" w14:textId="09D354E4"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2,473</w:t>
            </w:r>
          </w:p>
        </w:tc>
      </w:tr>
      <w:tr w:rsidR="002F10C6" w:rsidRPr="00D62E0E" w14:paraId="7E9A4191"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4D0E83CC" w14:textId="7ED2485D" w:rsidR="002F10C6" w:rsidRPr="002F10C6" w:rsidRDefault="002F10C6" w:rsidP="002F10C6">
            <w:r w:rsidRPr="002F10C6">
              <w:t>42</w:t>
            </w:r>
          </w:p>
        </w:tc>
        <w:tc>
          <w:tcPr>
            <w:tcW w:w="0" w:type="auto"/>
            <w:vAlign w:val="top"/>
          </w:tcPr>
          <w:p w14:paraId="40E2FED4" w14:textId="642F1F2E"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PHI 2005</w:t>
            </w:r>
          </w:p>
        </w:tc>
        <w:tc>
          <w:tcPr>
            <w:tcW w:w="0" w:type="auto"/>
            <w:vAlign w:val="top"/>
          </w:tcPr>
          <w:p w14:paraId="5F56DD0F" w14:textId="7ECC0A3D"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Business Ethics: AH3</w:t>
            </w:r>
          </w:p>
        </w:tc>
        <w:tc>
          <w:tcPr>
            <w:tcW w:w="0" w:type="auto"/>
            <w:vAlign w:val="top"/>
          </w:tcPr>
          <w:p w14:paraId="226B84AF" w14:textId="74B1C0E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2,024</w:t>
            </w:r>
          </w:p>
        </w:tc>
      </w:tr>
      <w:tr w:rsidR="002F10C6" w:rsidRPr="00D62E0E" w14:paraId="66746899"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798E91E6" w14:textId="1ADDAC1F" w:rsidR="002F10C6" w:rsidRPr="002F10C6" w:rsidRDefault="002F10C6" w:rsidP="002F10C6">
            <w:r w:rsidRPr="002F10C6">
              <w:t>43</w:t>
            </w:r>
          </w:p>
        </w:tc>
        <w:tc>
          <w:tcPr>
            <w:tcW w:w="0" w:type="auto"/>
            <w:vAlign w:val="top"/>
          </w:tcPr>
          <w:p w14:paraId="6D800B47" w14:textId="4520E260"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ANT 1001</w:t>
            </w:r>
          </w:p>
        </w:tc>
        <w:tc>
          <w:tcPr>
            <w:tcW w:w="0" w:type="auto"/>
            <w:vAlign w:val="top"/>
          </w:tcPr>
          <w:p w14:paraId="643DA431" w14:textId="199950CC"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Cultural Anthropology: SS3</w:t>
            </w:r>
          </w:p>
        </w:tc>
        <w:tc>
          <w:tcPr>
            <w:tcW w:w="0" w:type="auto"/>
            <w:vAlign w:val="top"/>
          </w:tcPr>
          <w:p w14:paraId="2BD0E051" w14:textId="29BD665F"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2,405</w:t>
            </w:r>
          </w:p>
        </w:tc>
      </w:tr>
      <w:tr w:rsidR="002F10C6" w:rsidRPr="00D62E0E" w14:paraId="68E9B462"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1EA7196A" w14:textId="68B9FF1F" w:rsidR="002F10C6" w:rsidRPr="002F10C6" w:rsidRDefault="002F10C6" w:rsidP="002F10C6">
            <w:r w:rsidRPr="002F10C6">
              <w:t>44</w:t>
            </w:r>
          </w:p>
        </w:tc>
        <w:tc>
          <w:tcPr>
            <w:tcW w:w="0" w:type="auto"/>
            <w:vAlign w:val="top"/>
          </w:tcPr>
          <w:p w14:paraId="0B86A8BD" w14:textId="427D3B3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HUM 1003</w:t>
            </w:r>
          </w:p>
        </w:tc>
        <w:tc>
          <w:tcPr>
            <w:tcW w:w="0" w:type="auto"/>
            <w:vAlign w:val="top"/>
          </w:tcPr>
          <w:p w14:paraId="48041B19" w14:textId="595505CB"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Intro to Film Art: AH2</w:t>
            </w:r>
          </w:p>
        </w:tc>
        <w:tc>
          <w:tcPr>
            <w:tcW w:w="0" w:type="auto"/>
            <w:vAlign w:val="top"/>
          </w:tcPr>
          <w:p w14:paraId="60907003" w14:textId="2DCC16A9"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2,320</w:t>
            </w:r>
          </w:p>
        </w:tc>
      </w:tr>
      <w:tr w:rsidR="002F10C6" w:rsidRPr="00D62E0E" w14:paraId="61E96F05"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2AFC3865" w14:textId="5354EE14" w:rsidR="002F10C6" w:rsidRPr="002F10C6" w:rsidRDefault="002F10C6" w:rsidP="002F10C6">
            <w:r w:rsidRPr="002F10C6">
              <w:t>45</w:t>
            </w:r>
          </w:p>
        </w:tc>
        <w:tc>
          <w:tcPr>
            <w:tcW w:w="0" w:type="auto"/>
            <w:vAlign w:val="top"/>
          </w:tcPr>
          <w:p w14:paraId="290C495E" w14:textId="7C3E583E"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HIS 1110</w:t>
            </w:r>
          </w:p>
        </w:tc>
        <w:tc>
          <w:tcPr>
            <w:tcW w:w="0" w:type="auto"/>
            <w:vAlign w:val="top"/>
          </w:tcPr>
          <w:p w14:paraId="57676A59" w14:textId="7ECC40B3"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The World: Antiquity-1500: HI1</w:t>
            </w:r>
          </w:p>
        </w:tc>
        <w:tc>
          <w:tcPr>
            <w:tcW w:w="0" w:type="auto"/>
            <w:vAlign w:val="top"/>
          </w:tcPr>
          <w:p w14:paraId="3567B1F2" w14:textId="7CDB0EBB"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2,086</w:t>
            </w:r>
          </w:p>
        </w:tc>
      </w:tr>
      <w:tr w:rsidR="002F10C6" w:rsidRPr="00D62E0E" w14:paraId="0E2AA441"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124826FD" w14:textId="14EBFFEC" w:rsidR="002F10C6" w:rsidRPr="002F10C6" w:rsidRDefault="002F10C6" w:rsidP="002F10C6">
            <w:r w:rsidRPr="002F10C6">
              <w:t>46</w:t>
            </w:r>
          </w:p>
        </w:tc>
        <w:tc>
          <w:tcPr>
            <w:tcW w:w="0" w:type="auto"/>
            <w:vAlign w:val="top"/>
          </w:tcPr>
          <w:p w14:paraId="750C71AD" w14:textId="3CC5BDF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PSY 2552</w:t>
            </w:r>
          </w:p>
        </w:tc>
        <w:tc>
          <w:tcPr>
            <w:tcW w:w="0" w:type="auto"/>
            <w:vAlign w:val="top"/>
          </w:tcPr>
          <w:p w14:paraId="7971FBC5" w14:textId="0914FC7B"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Abnormal Psychology: SS3</w:t>
            </w:r>
          </w:p>
        </w:tc>
        <w:tc>
          <w:tcPr>
            <w:tcW w:w="0" w:type="auto"/>
            <w:vAlign w:val="top"/>
          </w:tcPr>
          <w:p w14:paraId="24D4B392" w14:textId="0526AF10"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2,158</w:t>
            </w:r>
          </w:p>
        </w:tc>
      </w:tr>
    </w:tbl>
    <w:p w14:paraId="0F5FD774" w14:textId="77777777" w:rsidR="002F10C6" w:rsidRPr="002F10C6" w:rsidRDefault="002F10C6" w:rsidP="002F10C6"/>
    <w:p w14:paraId="2B34F55E" w14:textId="77777777" w:rsidR="0015026B" w:rsidRDefault="0015026B">
      <w:pPr>
        <w:spacing w:after="200" w:line="276" w:lineRule="auto"/>
        <w:rPr>
          <w:rFonts w:ascii="Trebuchet MS" w:hAnsi="Trebuchet MS"/>
          <w:b/>
          <w:color w:val="001970"/>
        </w:rPr>
      </w:pPr>
      <w:r>
        <w:br w:type="page"/>
      </w:r>
    </w:p>
    <w:p w14:paraId="0080F44F" w14:textId="04F0F6B3" w:rsidR="002F10C6" w:rsidRDefault="002F10C6" w:rsidP="002F10C6">
      <w:pPr>
        <w:pStyle w:val="Heading2"/>
      </w:pPr>
      <w:r>
        <w:lastRenderedPageBreak/>
        <w:t>Appendix B: Highest Transfer</w:t>
      </w:r>
      <w:r w:rsidR="00CE0B8E">
        <w:t>s of</w:t>
      </w:r>
      <w:r>
        <w:t xml:space="preserve"> GT Pathways Courses</w:t>
      </w:r>
      <w:r w:rsidR="00CE0B8E">
        <w:t xml:space="preserve"> Academic Years 2023 and 2024 Combined</w:t>
      </w:r>
      <w:r w:rsidR="00022433">
        <w:t xml:space="preserve"> – Colorado Community College System</w:t>
      </w:r>
    </w:p>
    <w:tbl>
      <w:tblPr>
        <w:tblStyle w:val="ListTable4-Accent2"/>
        <w:tblW w:w="0" w:type="auto"/>
        <w:tblLook w:val="04A0" w:firstRow="1" w:lastRow="0" w:firstColumn="1" w:lastColumn="0" w:noHBand="0" w:noVBand="1"/>
      </w:tblPr>
      <w:tblGrid>
        <w:gridCol w:w="799"/>
        <w:gridCol w:w="1266"/>
        <w:gridCol w:w="3772"/>
        <w:gridCol w:w="3075"/>
      </w:tblGrid>
      <w:tr w:rsidR="00365EC9" w:rsidRPr="00AA6753" w14:paraId="3D6049C2" w14:textId="77777777" w:rsidTr="1048012A">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1970" w:themeFill="accent1"/>
            <w:noWrap/>
            <w:hideMark/>
          </w:tcPr>
          <w:p w14:paraId="1685D259" w14:textId="77777777" w:rsidR="00AA6753" w:rsidRPr="00365EC9" w:rsidRDefault="00AA6753" w:rsidP="00365EC9">
            <w:pPr>
              <w:rPr>
                <w:color w:val="FFFFFF" w:themeColor="background1"/>
              </w:rPr>
            </w:pPr>
            <w:r w:rsidRPr="00365EC9">
              <w:rPr>
                <w:color w:val="FFFFFF" w:themeColor="background1"/>
              </w:rPr>
              <w:t>Order</w:t>
            </w:r>
          </w:p>
        </w:tc>
        <w:tc>
          <w:tcPr>
            <w:tcW w:w="0" w:type="auto"/>
            <w:shd w:val="clear" w:color="auto" w:fill="001970" w:themeFill="accent1"/>
            <w:noWrap/>
            <w:hideMark/>
          </w:tcPr>
          <w:p w14:paraId="26E36C9C" w14:textId="77777777" w:rsidR="00AA6753" w:rsidRPr="00365EC9" w:rsidRDefault="00AA6753" w:rsidP="00365EC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365EC9">
              <w:rPr>
                <w:color w:val="FFFFFF" w:themeColor="background1"/>
              </w:rPr>
              <w:t>Course</w:t>
            </w:r>
          </w:p>
        </w:tc>
        <w:tc>
          <w:tcPr>
            <w:tcW w:w="0" w:type="auto"/>
            <w:shd w:val="clear" w:color="auto" w:fill="001970" w:themeFill="accent1"/>
            <w:noWrap/>
            <w:hideMark/>
          </w:tcPr>
          <w:p w14:paraId="7DCA7310" w14:textId="77777777" w:rsidR="00AA6753" w:rsidRPr="00365EC9" w:rsidRDefault="00AA6753" w:rsidP="00365EC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365EC9">
              <w:rPr>
                <w:color w:val="FFFFFF" w:themeColor="background1"/>
              </w:rPr>
              <w:t>Title: GT Pathways Category</w:t>
            </w:r>
          </w:p>
        </w:tc>
        <w:tc>
          <w:tcPr>
            <w:tcW w:w="0" w:type="auto"/>
            <w:shd w:val="clear" w:color="auto" w:fill="001970" w:themeFill="accent1"/>
            <w:noWrap/>
            <w:hideMark/>
          </w:tcPr>
          <w:p w14:paraId="5AAD1736" w14:textId="1BBC9182" w:rsidR="00AA6753" w:rsidRPr="00365EC9" w:rsidRDefault="00365EC9" w:rsidP="00365EC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365EC9">
              <w:rPr>
                <w:color w:val="FFFFFF" w:themeColor="background1"/>
              </w:rPr>
              <w:t xml:space="preserve">Total </w:t>
            </w:r>
            <w:r w:rsidR="006B6BE4">
              <w:rPr>
                <w:color w:val="FFFFFF" w:themeColor="background1"/>
              </w:rPr>
              <w:t xml:space="preserve">Transfers </w:t>
            </w:r>
            <w:r w:rsidRPr="00365EC9">
              <w:rPr>
                <w:color w:val="FFFFFF" w:themeColor="background1"/>
              </w:rPr>
              <w:t>AY2023-2024</w:t>
            </w:r>
          </w:p>
        </w:tc>
      </w:tr>
      <w:tr w:rsidR="00365EC9" w:rsidRPr="00AA6753" w14:paraId="65CD40B0"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31FA7AD5" w14:textId="77777777" w:rsidR="00AA6753" w:rsidRPr="00365EC9" w:rsidRDefault="00AA6753" w:rsidP="00365EC9">
            <w:r w:rsidRPr="00365EC9">
              <w:t>1</w:t>
            </w:r>
          </w:p>
        </w:tc>
        <w:tc>
          <w:tcPr>
            <w:tcW w:w="0" w:type="auto"/>
            <w:noWrap/>
            <w:hideMark/>
          </w:tcPr>
          <w:p w14:paraId="714711AC"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ENG 1021</w:t>
            </w:r>
          </w:p>
        </w:tc>
        <w:tc>
          <w:tcPr>
            <w:tcW w:w="0" w:type="auto"/>
            <w:noWrap/>
            <w:hideMark/>
          </w:tcPr>
          <w:p w14:paraId="4E7DDA96"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English Composition I:CO1</w:t>
            </w:r>
          </w:p>
        </w:tc>
        <w:tc>
          <w:tcPr>
            <w:tcW w:w="0" w:type="auto"/>
            <w:noWrap/>
            <w:hideMark/>
          </w:tcPr>
          <w:p w14:paraId="4D3783EF"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8,675</w:t>
            </w:r>
          </w:p>
        </w:tc>
      </w:tr>
      <w:tr w:rsidR="00365EC9" w:rsidRPr="00AA6753" w14:paraId="76F5319A"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E378A1D" w14:textId="77777777" w:rsidR="00AA6753" w:rsidRPr="00365EC9" w:rsidRDefault="00AA6753" w:rsidP="00365EC9">
            <w:r w:rsidRPr="00365EC9">
              <w:t>2</w:t>
            </w:r>
          </w:p>
        </w:tc>
        <w:tc>
          <w:tcPr>
            <w:tcW w:w="0" w:type="auto"/>
            <w:noWrap/>
            <w:hideMark/>
          </w:tcPr>
          <w:p w14:paraId="03BA3CC7"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MAT 1340</w:t>
            </w:r>
          </w:p>
        </w:tc>
        <w:tc>
          <w:tcPr>
            <w:tcW w:w="0" w:type="auto"/>
            <w:noWrap/>
            <w:hideMark/>
          </w:tcPr>
          <w:p w14:paraId="1ABA4149"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College Algebra: MA1</w:t>
            </w:r>
          </w:p>
        </w:tc>
        <w:tc>
          <w:tcPr>
            <w:tcW w:w="0" w:type="auto"/>
            <w:noWrap/>
            <w:hideMark/>
          </w:tcPr>
          <w:p w14:paraId="766760B0"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5,875</w:t>
            </w:r>
          </w:p>
        </w:tc>
      </w:tr>
      <w:tr w:rsidR="00365EC9" w:rsidRPr="00AA6753" w14:paraId="02693A0F"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377CCFEA" w14:textId="77777777" w:rsidR="00AA6753" w:rsidRPr="00365EC9" w:rsidRDefault="00AA6753" w:rsidP="00365EC9">
            <w:r w:rsidRPr="00365EC9">
              <w:t>3</w:t>
            </w:r>
          </w:p>
        </w:tc>
        <w:tc>
          <w:tcPr>
            <w:tcW w:w="0" w:type="auto"/>
            <w:noWrap/>
            <w:hideMark/>
          </w:tcPr>
          <w:p w14:paraId="4A411E4C"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ENG 1022</w:t>
            </w:r>
          </w:p>
        </w:tc>
        <w:tc>
          <w:tcPr>
            <w:tcW w:w="0" w:type="auto"/>
            <w:noWrap/>
            <w:hideMark/>
          </w:tcPr>
          <w:p w14:paraId="3F341EBA"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 xml:space="preserve">English Composition </w:t>
            </w:r>
            <w:proofErr w:type="gramStart"/>
            <w:r w:rsidRPr="00365EC9">
              <w:t>II:CO2</w:t>
            </w:r>
            <w:proofErr w:type="gramEnd"/>
          </w:p>
        </w:tc>
        <w:tc>
          <w:tcPr>
            <w:tcW w:w="0" w:type="auto"/>
            <w:noWrap/>
            <w:hideMark/>
          </w:tcPr>
          <w:p w14:paraId="4D8BAC99"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5,704</w:t>
            </w:r>
          </w:p>
        </w:tc>
      </w:tr>
      <w:tr w:rsidR="00365EC9" w:rsidRPr="00AA6753" w14:paraId="0A3D1820"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19E50813" w14:textId="77777777" w:rsidR="00AA6753" w:rsidRPr="00365EC9" w:rsidRDefault="00AA6753" w:rsidP="00365EC9">
            <w:r w:rsidRPr="00365EC9">
              <w:t>4</w:t>
            </w:r>
          </w:p>
        </w:tc>
        <w:tc>
          <w:tcPr>
            <w:tcW w:w="0" w:type="auto"/>
            <w:noWrap/>
            <w:hideMark/>
          </w:tcPr>
          <w:p w14:paraId="02738458"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PSY 1001</w:t>
            </w:r>
          </w:p>
        </w:tc>
        <w:tc>
          <w:tcPr>
            <w:tcW w:w="0" w:type="auto"/>
            <w:noWrap/>
            <w:hideMark/>
          </w:tcPr>
          <w:p w14:paraId="24A8DA5E"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General Psychology I: SS3</w:t>
            </w:r>
          </w:p>
        </w:tc>
        <w:tc>
          <w:tcPr>
            <w:tcW w:w="0" w:type="auto"/>
            <w:noWrap/>
            <w:hideMark/>
          </w:tcPr>
          <w:p w14:paraId="7CCE1D0B"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3,729</w:t>
            </w:r>
          </w:p>
        </w:tc>
      </w:tr>
      <w:tr w:rsidR="00365EC9" w:rsidRPr="00AA6753" w14:paraId="39EC7368"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64D3311B" w14:textId="77777777" w:rsidR="00AA6753" w:rsidRPr="00365EC9" w:rsidRDefault="00AA6753" w:rsidP="00365EC9">
            <w:r w:rsidRPr="00365EC9">
              <w:t>5</w:t>
            </w:r>
          </w:p>
        </w:tc>
        <w:tc>
          <w:tcPr>
            <w:tcW w:w="0" w:type="auto"/>
            <w:noWrap/>
            <w:hideMark/>
          </w:tcPr>
          <w:p w14:paraId="150FBC77"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BIO 1111</w:t>
            </w:r>
          </w:p>
        </w:tc>
        <w:tc>
          <w:tcPr>
            <w:tcW w:w="0" w:type="auto"/>
            <w:noWrap/>
            <w:hideMark/>
          </w:tcPr>
          <w:p w14:paraId="17BDEB0A"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Gen College Biology I/Lab: SC1</w:t>
            </w:r>
          </w:p>
        </w:tc>
        <w:tc>
          <w:tcPr>
            <w:tcW w:w="0" w:type="auto"/>
            <w:noWrap/>
            <w:hideMark/>
          </w:tcPr>
          <w:p w14:paraId="6BEE8EE2"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2,653</w:t>
            </w:r>
          </w:p>
        </w:tc>
      </w:tr>
      <w:tr w:rsidR="00365EC9" w:rsidRPr="00AA6753" w14:paraId="1F86B4CA"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3F1427A3" w14:textId="77777777" w:rsidR="00AA6753" w:rsidRPr="00365EC9" w:rsidRDefault="00AA6753" w:rsidP="00365EC9">
            <w:r w:rsidRPr="00365EC9">
              <w:t>6</w:t>
            </w:r>
          </w:p>
        </w:tc>
        <w:tc>
          <w:tcPr>
            <w:tcW w:w="0" w:type="auto"/>
            <w:noWrap/>
            <w:hideMark/>
          </w:tcPr>
          <w:p w14:paraId="03415D4E"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COM 1250</w:t>
            </w:r>
          </w:p>
        </w:tc>
        <w:tc>
          <w:tcPr>
            <w:tcW w:w="0" w:type="auto"/>
            <w:noWrap/>
            <w:hideMark/>
          </w:tcPr>
          <w:p w14:paraId="7DA51894"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Interpersonal Comm: SS3</w:t>
            </w:r>
          </w:p>
        </w:tc>
        <w:tc>
          <w:tcPr>
            <w:tcW w:w="0" w:type="auto"/>
            <w:noWrap/>
            <w:hideMark/>
          </w:tcPr>
          <w:p w14:paraId="41ACDC28"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2,161</w:t>
            </w:r>
          </w:p>
        </w:tc>
      </w:tr>
      <w:tr w:rsidR="00365EC9" w:rsidRPr="00AA6753" w14:paraId="49D1286A"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DD25D16" w14:textId="77777777" w:rsidR="00AA6753" w:rsidRPr="00365EC9" w:rsidRDefault="00AA6753" w:rsidP="00365EC9">
            <w:r w:rsidRPr="00365EC9">
              <w:t>7</w:t>
            </w:r>
          </w:p>
        </w:tc>
        <w:tc>
          <w:tcPr>
            <w:tcW w:w="0" w:type="auto"/>
            <w:noWrap/>
            <w:hideMark/>
          </w:tcPr>
          <w:p w14:paraId="5A49D534"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MAT 1260</w:t>
            </w:r>
          </w:p>
        </w:tc>
        <w:tc>
          <w:tcPr>
            <w:tcW w:w="0" w:type="auto"/>
            <w:noWrap/>
            <w:hideMark/>
          </w:tcPr>
          <w:p w14:paraId="5D851F47"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Intro to Statistics: MA1</w:t>
            </w:r>
          </w:p>
        </w:tc>
        <w:tc>
          <w:tcPr>
            <w:tcW w:w="0" w:type="auto"/>
            <w:noWrap/>
            <w:hideMark/>
          </w:tcPr>
          <w:p w14:paraId="570DDC81"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2,114</w:t>
            </w:r>
          </w:p>
        </w:tc>
      </w:tr>
      <w:tr w:rsidR="00365EC9" w:rsidRPr="00AA6753" w14:paraId="5F029178"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8084565" w14:textId="77777777" w:rsidR="00AA6753" w:rsidRPr="00365EC9" w:rsidRDefault="00AA6753" w:rsidP="00365EC9">
            <w:r w:rsidRPr="00365EC9">
              <w:t>8</w:t>
            </w:r>
          </w:p>
        </w:tc>
        <w:tc>
          <w:tcPr>
            <w:tcW w:w="0" w:type="auto"/>
            <w:noWrap/>
            <w:hideMark/>
          </w:tcPr>
          <w:p w14:paraId="705B1A31"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ECO 2001</w:t>
            </w:r>
          </w:p>
        </w:tc>
        <w:tc>
          <w:tcPr>
            <w:tcW w:w="0" w:type="auto"/>
            <w:noWrap/>
            <w:hideMark/>
          </w:tcPr>
          <w:p w14:paraId="7208B638"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Prin of Macroeconomics: SS1</w:t>
            </w:r>
          </w:p>
        </w:tc>
        <w:tc>
          <w:tcPr>
            <w:tcW w:w="0" w:type="auto"/>
            <w:noWrap/>
            <w:hideMark/>
          </w:tcPr>
          <w:p w14:paraId="53437C40"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2,111</w:t>
            </w:r>
          </w:p>
        </w:tc>
      </w:tr>
      <w:tr w:rsidR="00365EC9" w:rsidRPr="00AA6753" w14:paraId="71878A0F"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09389DB" w14:textId="77777777" w:rsidR="00AA6753" w:rsidRPr="00365EC9" w:rsidRDefault="00AA6753" w:rsidP="00365EC9">
            <w:r w:rsidRPr="00365EC9">
              <w:t>9</w:t>
            </w:r>
          </w:p>
        </w:tc>
        <w:tc>
          <w:tcPr>
            <w:tcW w:w="0" w:type="auto"/>
            <w:noWrap/>
            <w:hideMark/>
          </w:tcPr>
          <w:p w14:paraId="371C4132"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ECO 2002</w:t>
            </w:r>
          </w:p>
        </w:tc>
        <w:tc>
          <w:tcPr>
            <w:tcW w:w="0" w:type="auto"/>
            <w:noWrap/>
            <w:hideMark/>
          </w:tcPr>
          <w:p w14:paraId="51FDDC34"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Prin of Microeconomics: SS1</w:t>
            </w:r>
          </w:p>
        </w:tc>
        <w:tc>
          <w:tcPr>
            <w:tcW w:w="0" w:type="auto"/>
            <w:noWrap/>
            <w:hideMark/>
          </w:tcPr>
          <w:p w14:paraId="12F58F4F"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1,920</w:t>
            </w:r>
          </w:p>
        </w:tc>
      </w:tr>
      <w:tr w:rsidR="00365EC9" w:rsidRPr="00AA6753" w14:paraId="12E1E1DF"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7C862C6" w14:textId="77777777" w:rsidR="00AA6753" w:rsidRPr="00365EC9" w:rsidRDefault="00AA6753" w:rsidP="00365EC9">
            <w:r w:rsidRPr="00365EC9">
              <w:t>10</w:t>
            </w:r>
          </w:p>
        </w:tc>
        <w:tc>
          <w:tcPr>
            <w:tcW w:w="0" w:type="auto"/>
            <w:noWrap/>
            <w:hideMark/>
          </w:tcPr>
          <w:p w14:paraId="5D82338C"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SOC 1001</w:t>
            </w:r>
          </w:p>
        </w:tc>
        <w:tc>
          <w:tcPr>
            <w:tcW w:w="0" w:type="auto"/>
            <w:noWrap/>
            <w:hideMark/>
          </w:tcPr>
          <w:p w14:paraId="6700782B"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 xml:space="preserve">Intro to Sociology </w:t>
            </w:r>
            <w:proofErr w:type="gramStart"/>
            <w:r w:rsidRPr="00365EC9">
              <w:t>I :</w:t>
            </w:r>
            <w:proofErr w:type="gramEnd"/>
            <w:r w:rsidRPr="00365EC9">
              <w:t xml:space="preserve"> GT-SS3</w:t>
            </w:r>
          </w:p>
        </w:tc>
        <w:tc>
          <w:tcPr>
            <w:tcW w:w="0" w:type="auto"/>
            <w:noWrap/>
            <w:hideMark/>
          </w:tcPr>
          <w:p w14:paraId="180F028F"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1,905</w:t>
            </w:r>
          </w:p>
        </w:tc>
      </w:tr>
      <w:tr w:rsidR="00365EC9" w:rsidRPr="00AA6753" w14:paraId="474F08C2"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EA2EB25" w14:textId="77777777" w:rsidR="00AA6753" w:rsidRPr="00365EC9" w:rsidRDefault="00AA6753" w:rsidP="00365EC9">
            <w:r w:rsidRPr="00365EC9">
              <w:t>11</w:t>
            </w:r>
          </w:p>
        </w:tc>
        <w:tc>
          <w:tcPr>
            <w:tcW w:w="0" w:type="auto"/>
            <w:noWrap/>
            <w:hideMark/>
          </w:tcPr>
          <w:p w14:paraId="4B23E10D"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PSY 2440</w:t>
            </w:r>
          </w:p>
        </w:tc>
        <w:tc>
          <w:tcPr>
            <w:tcW w:w="0" w:type="auto"/>
            <w:noWrap/>
            <w:hideMark/>
          </w:tcPr>
          <w:p w14:paraId="3A7D9E3E" w14:textId="78826455" w:rsidR="00AA6753" w:rsidRPr="00365EC9" w:rsidRDefault="607877DA" w:rsidP="00365EC9">
            <w:pPr>
              <w:cnfStyle w:val="000000100000" w:firstRow="0" w:lastRow="0" w:firstColumn="0" w:lastColumn="0" w:oddVBand="0" w:evenVBand="0" w:oddHBand="1" w:evenHBand="0" w:firstRowFirstColumn="0" w:firstRowLastColumn="0" w:lastRowFirstColumn="0" w:lastRowLastColumn="0"/>
            </w:pPr>
            <w:r>
              <w:t xml:space="preserve">Human Growth &amp; </w:t>
            </w:r>
            <w:r w:rsidR="10DDF668">
              <w:t>Development</w:t>
            </w:r>
            <w:r>
              <w:t>: SS3</w:t>
            </w:r>
          </w:p>
        </w:tc>
        <w:tc>
          <w:tcPr>
            <w:tcW w:w="0" w:type="auto"/>
            <w:noWrap/>
            <w:hideMark/>
          </w:tcPr>
          <w:p w14:paraId="002C874B"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1,715</w:t>
            </w:r>
          </w:p>
        </w:tc>
      </w:tr>
      <w:tr w:rsidR="00365EC9" w:rsidRPr="00AA6753" w14:paraId="21D292EE"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3E0FE361" w14:textId="77777777" w:rsidR="00AA6753" w:rsidRPr="00365EC9" w:rsidRDefault="00AA6753" w:rsidP="00365EC9">
            <w:r w:rsidRPr="00365EC9">
              <w:t>12</w:t>
            </w:r>
          </w:p>
        </w:tc>
        <w:tc>
          <w:tcPr>
            <w:tcW w:w="0" w:type="auto"/>
            <w:noWrap/>
            <w:hideMark/>
          </w:tcPr>
          <w:p w14:paraId="0292CD7E"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ART 1110</w:t>
            </w:r>
          </w:p>
        </w:tc>
        <w:tc>
          <w:tcPr>
            <w:tcW w:w="0" w:type="auto"/>
            <w:noWrap/>
            <w:hideMark/>
          </w:tcPr>
          <w:p w14:paraId="54E218AA"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Art Appreciation: AH1</w:t>
            </w:r>
          </w:p>
        </w:tc>
        <w:tc>
          <w:tcPr>
            <w:tcW w:w="0" w:type="auto"/>
            <w:noWrap/>
            <w:hideMark/>
          </w:tcPr>
          <w:p w14:paraId="00D90CF4"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1,687</w:t>
            </w:r>
          </w:p>
        </w:tc>
      </w:tr>
      <w:tr w:rsidR="00365EC9" w:rsidRPr="00AA6753" w14:paraId="4148505F"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265B8756" w14:textId="77777777" w:rsidR="00AA6753" w:rsidRPr="00365EC9" w:rsidRDefault="00AA6753" w:rsidP="00365EC9">
            <w:r w:rsidRPr="00365EC9">
              <w:t>13</w:t>
            </w:r>
          </w:p>
        </w:tc>
        <w:tc>
          <w:tcPr>
            <w:tcW w:w="0" w:type="auto"/>
            <w:noWrap/>
            <w:hideMark/>
          </w:tcPr>
          <w:p w14:paraId="2063A92D"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HUM 1015</w:t>
            </w:r>
          </w:p>
        </w:tc>
        <w:tc>
          <w:tcPr>
            <w:tcW w:w="0" w:type="auto"/>
            <w:noWrap/>
            <w:hideMark/>
          </w:tcPr>
          <w:p w14:paraId="2A5DE4A6"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World Mythology: AH2</w:t>
            </w:r>
          </w:p>
        </w:tc>
        <w:tc>
          <w:tcPr>
            <w:tcW w:w="0" w:type="auto"/>
            <w:noWrap/>
            <w:hideMark/>
          </w:tcPr>
          <w:p w14:paraId="6F198676"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1,664</w:t>
            </w:r>
          </w:p>
        </w:tc>
      </w:tr>
      <w:tr w:rsidR="00365EC9" w:rsidRPr="00AA6753" w14:paraId="598A75B6"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E40132C" w14:textId="77777777" w:rsidR="00AA6753" w:rsidRPr="00365EC9" w:rsidRDefault="00AA6753" w:rsidP="00365EC9">
            <w:r w:rsidRPr="00365EC9">
              <w:t>14</w:t>
            </w:r>
          </w:p>
        </w:tc>
        <w:tc>
          <w:tcPr>
            <w:tcW w:w="0" w:type="auto"/>
            <w:noWrap/>
            <w:hideMark/>
          </w:tcPr>
          <w:p w14:paraId="4B2C3D79"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BIO 2101</w:t>
            </w:r>
          </w:p>
        </w:tc>
        <w:tc>
          <w:tcPr>
            <w:tcW w:w="0" w:type="auto"/>
            <w:noWrap/>
            <w:hideMark/>
          </w:tcPr>
          <w:p w14:paraId="7B3F3786"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 xml:space="preserve">Human </w:t>
            </w:r>
            <w:proofErr w:type="spellStart"/>
            <w:r w:rsidRPr="00365EC9">
              <w:t>Anatomy&amp;Phys</w:t>
            </w:r>
            <w:proofErr w:type="spellEnd"/>
            <w:r w:rsidRPr="00365EC9">
              <w:t xml:space="preserve"> I w/Lab:SC1</w:t>
            </w:r>
          </w:p>
        </w:tc>
        <w:tc>
          <w:tcPr>
            <w:tcW w:w="0" w:type="auto"/>
            <w:noWrap/>
            <w:hideMark/>
          </w:tcPr>
          <w:p w14:paraId="43421773"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1,597</w:t>
            </w:r>
          </w:p>
        </w:tc>
      </w:tr>
      <w:tr w:rsidR="00365EC9" w:rsidRPr="00AA6753" w14:paraId="51C804EA"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2FD2A647" w14:textId="77777777" w:rsidR="00AA6753" w:rsidRPr="00365EC9" w:rsidRDefault="00AA6753" w:rsidP="00365EC9">
            <w:r w:rsidRPr="00365EC9">
              <w:t>15</w:t>
            </w:r>
          </w:p>
        </w:tc>
        <w:tc>
          <w:tcPr>
            <w:tcW w:w="0" w:type="auto"/>
            <w:noWrap/>
            <w:hideMark/>
          </w:tcPr>
          <w:p w14:paraId="3F41BF7E"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PHI 1011</w:t>
            </w:r>
          </w:p>
        </w:tc>
        <w:tc>
          <w:tcPr>
            <w:tcW w:w="0" w:type="auto"/>
            <w:noWrap/>
            <w:hideMark/>
          </w:tcPr>
          <w:p w14:paraId="585C2C79"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Intro to Philosophy: AH3</w:t>
            </w:r>
          </w:p>
        </w:tc>
        <w:tc>
          <w:tcPr>
            <w:tcW w:w="0" w:type="auto"/>
            <w:noWrap/>
            <w:hideMark/>
          </w:tcPr>
          <w:p w14:paraId="632306C8"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1,509</w:t>
            </w:r>
          </w:p>
        </w:tc>
      </w:tr>
      <w:tr w:rsidR="00365EC9" w:rsidRPr="00AA6753" w14:paraId="3A82A604"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171722F" w14:textId="77777777" w:rsidR="00AA6753" w:rsidRPr="00365EC9" w:rsidRDefault="00AA6753" w:rsidP="00365EC9">
            <w:r w:rsidRPr="00365EC9">
              <w:t>16</w:t>
            </w:r>
          </w:p>
        </w:tc>
        <w:tc>
          <w:tcPr>
            <w:tcW w:w="0" w:type="auto"/>
            <w:noWrap/>
            <w:hideMark/>
          </w:tcPr>
          <w:p w14:paraId="78361B22"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MAT 2410</w:t>
            </w:r>
          </w:p>
        </w:tc>
        <w:tc>
          <w:tcPr>
            <w:tcW w:w="0" w:type="auto"/>
            <w:noWrap/>
            <w:hideMark/>
          </w:tcPr>
          <w:p w14:paraId="4EBBF20B"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Calculus I: MA1</w:t>
            </w:r>
          </w:p>
        </w:tc>
        <w:tc>
          <w:tcPr>
            <w:tcW w:w="0" w:type="auto"/>
            <w:noWrap/>
            <w:hideMark/>
          </w:tcPr>
          <w:p w14:paraId="1B417DC5"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1,475</w:t>
            </w:r>
          </w:p>
        </w:tc>
      </w:tr>
      <w:tr w:rsidR="00365EC9" w:rsidRPr="00AA6753" w14:paraId="62F1E73A"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4127AAD0" w14:textId="77777777" w:rsidR="00AA6753" w:rsidRPr="00365EC9" w:rsidRDefault="00AA6753" w:rsidP="00365EC9">
            <w:r w:rsidRPr="00365EC9">
              <w:t>17</w:t>
            </w:r>
          </w:p>
        </w:tc>
        <w:tc>
          <w:tcPr>
            <w:tcW w:w="0" w:type="auto"/>
            <w:noWrap/>
            <w:hideMark/>
          </w:tcPr>
          <w:p w14:paraId="29D0D2B8"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MAT 1240</w:t>
            </w:r>
          </w:p>
        </w:tc>
        <w:tc>
          <w:tcPr>
            <w:tcW w:w="0" w:type="auto"/>
            <w:noWrap/>
            <w:hideMark/>
          </w:tcPr>
          <w:p w14:paraId="4B309890"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Math for Liberal Arts: MA1</w:t>
            </w:r>
          </w:p>
        </w:tc>
        <w:tc>
          <w:tcPr>
            <w:tcW w:w="0" w:type="auto"/>
            <w:noWrap/>
            <w:hideMark/>
          </w:tcPr>
          <w:p w14:paraId="22599D3D"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1,426</w:t>
            </w:r>
          </w:p>
        </w:tc>
      </w:tr>
      <w:tr w:rsidR="00365EC9" w:rsidRPr="00AA6753" w14:paraId="7B780990"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5409381" w14:textId="77777777" w:rsidR="00AA6753" w:rsidRPr="00365EC9" w:rsidRDefault="00AA6753" w:rsidP="00365EC9">
            <w:r w:rsidRPr="00365EC9">
              <w:t>18</w:t>
            </w:r>
          </w:p>
        </w:tc>
        <w:tc>
          <w:tcPr>
            <w:tcW w:w="0" w:type="auto"/>
            <w:noWrap/>
            <w:hideMark/>
          </w:tcPr>
          <w:p w14:paraId="4967AA3B"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CHE 1011</w:t>
            </w:r>
          </w:p>
        </w:tc>
        <w:tc>
          <w:tcPr>
            <w:tcW w:w="0" w:type="auto"/>
            <w:noWrap/>
            <w:hideMark/>
          </w:tcPr>
          <w:p w14:paraId="28FA88B4"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Intro to Chemistry I/Lab: SC1</w:t>
            </w:r>
          </w:p>
        </w:tc>
        <w:tc>
          <w:tcPr>
            <w:tcW w:w="0" w:type="auto"/>
            <w:noWrap/>
            <w:hideMark/>
          </w:tcPr>
          <w:p w14:paraId="2E5B311E"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1,369</w:t>
            </w:r>
          </w:p>
        </w:tc>
      </w:tr>
      <w:tr w:rsidR="00365EC9" w:rsidRPr="00AA6753" w14:paraId="3B2A0C90"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4713C5F5" w14:textId="77777777" w:rsidR="00AA6753" w:rsidRPr="00365EC9" w:rsidRDefault="00AA6753" w:rsidP="00365EC9">
            <w:r w:rsidRPr="00365EC9">
              <w:t>19</w:t>
            </w:r>
          </w:p>
        </w:tc>
        <w:tc>
          <w:tcPr>
            <w:tcW w:w="0" w:type="auto"/>
            <w:noWrap/>
            <w:hideMark/>
          </w:tcPr>
          <w:p w14:paraId="5C9E3087"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MAT 1440</w:t>
            </w:r>
          </w:p>
        </w:tc>
        <w:tc>
          <w:tcPr>
            <w:tcW w:w="0" w:type="auto"/>
            <w:noWrap/>
            <w:hideMark/>
          </w:tcPr>
          <w:p w14:paraId="3BB893CB"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Pre-Calculus: MA1</w:t>
            </w:r>
          </w:p>
        </w:tc>
        <w:tc>
          <w:tcPr>
            <w:tcW w:w="0" w:type="auto"/>
            <w:noWrap/>
            <w:hideMark/>
          </w:tcPr>
          <w:p w14:paraId="330AAA0A"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1,350</w:t>
            </w:r>
          </w:p>
        </w:tc>
      </w:tr>
      <w:tr w:rsidR="00365EC9" w:rsidRPr="00AA6753" w14:paraId="2D443DA5"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5730BC5D" w14:textId="77777777" w:rsidR="00AA6753" w:rsidRPr="00365EC9" w:rsidRDefault="00AA6753" w:rsidP="00365EC9">
            <w:r w:rsidRPr="00365EC9">
              <w:t>20</w:t>
            </w:r>
          </w:p>
        </w:tc>
        <w:tc>
          <w:tcPr>
            <w:tcW w:w="0" w:type="auto"/>
            <w:noWrap/>
            <w:hideMark/>
          </w:tcPr>
          <w:p w14:paraId="03B723A4"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CHE 1111</w:t>
            </w:r>
          </w:p>
        </w:tc>
        <w:tc>
          <w:tcPr>
            <w:tcW w:w="0" w:type="auto"/>
            <w:noWrap/>
            <w:hideMark/>
          </w:tcPr>
          <w:p w14:paraId="23DEF49D"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Gen College Chem I/Lab: SC1</w:t>
            </w:r>
          </w:p>
        </w:tc>
        <w:tc>
          <w:tcPr>
            <w:tcW w:w="0" w:type="auto"/>
            <w:noWrap/>
            <w:hideMark/>
          </w:tcPr>
          <w:p w14:paraId="3B5B010E"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1,191</w:t>
            </w:r>
          </w:p>
        </w:tc>
      </w:tr>
      <w:tr w:rsidR="00365EC9" w:rsidRPr="00AA6753" w14:paraId="6EEA3A51"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2DFDA854" w14:textId="77777777" w:rsidR="00AA6753" w:rsidRPr="00365EC9" w:rsidRDefault="00AA6753" w:rsidP="00365EC9">
            <w:r w:rsidRPr="00365EC9">
              <w:t>21</w:t>
            </w:r>
          </w:p>
        </w:tc>
        <w:tc>
          <w:tcPr>
            <w:tcW w:w="0" w:type="auto"/>
            <w:noWrap/>
            <w:hideMark/>
          </w:tcPr>
          <w:p w14:paraId="772F59A2"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PHI 1012</w:t>
            </w:r>
          </w:p>
        </w:tc>
        <w:tc>
          <w:tcPr>
            <w:tcW w:w="0" w:type="auto"/>
            <w:noWrap/>
            <w:hideMark/>
          </w:tcPr>
          <w:p w14:paraId="6E8E81C0"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proofErr w:type="gramStart"/>
            <w:r w:rsidRPr="00365EC9">
              <w:t>Ethics:AH</w:t>
            </w:r>
            <w:proofErr w:type="gramEnd"/>
            <w:r w:rsidRPr="00365EC9">
              <w:t>3</w:t>
            </w:r>
          </w:p>
        </w:tc>
        <w:tc>
          <w:tcPr>
            <w:tcW w:w="0" w:type="auto"/>
            <w:noWrap/>
            <w:hideMark/>
          </w:tcPr>
          <w:p w14:paraId="6C14A426"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1,166</w:t>
            </w:r>
          </w:p>
        </w:tc>
      </w:tr>
      <w:tr w:rsidR="00365EC9" w:rsidRPr="00AA6753" w14:paraId="1AA65EC4"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2ACC20A6" w14:textId="77777777" w:rsidR="00AA6753" w:rsidRPr="00365EC9" w:rsidRDefault="00AA6753" w:rsidP="00365EC9">
            <w:r w:rsidRPr="00365EC9">
              <w:t>22</w:t>
            </w:r>
          </w:p>
        </w:tc>
        <w:tc>
          <w:tcPr>
            <w:tcW w:w="0" w:type="auto"/>
            <w:noWrap/>
            <w:hideMark/>
          </w:tcPr>
          <w:p w14:paraId="740D5772"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LIT 1015</w:t>
            </w:r>
          </w:p>
        </w:tc>
        <w:tc>
          <w:tcPr>
            <w:tcW w:w="0" w:type="auto"/>
            <w:noWrap/>
            <w:hideMark/>
          </w:tcPr>
          <w:p w14:paraId="3EE093C5"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Intro to Literature I: AH2</w:t>
            </w:r>
          </w:p>
        </w:tc>
        <w:tc>
          <w:tcPr>
            <w:tcW w:w="0" w:type="auto"/>
            <w:noWrap/>
            <w:hideMark/>
          </w:tcPr>
          <w:p w14:paraId="4891C103"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1,134</w:t>
            </w:r>
          </w:p>
        </w:tc>
      </w:tr>
      <w:tr w:rsidR="00365EC9" w:rsidRPr="00AA6753" w14:paraId="0975DD49"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B8E5466" w14:textId="77777777" w:rsidR="00AA6753" w:rsidRPr="00365EC9" w:rsidRDefault="00AA6753" w:rsidP="00365EC9">
            <w:r w:rsidRPr="00365EC9">
              <w:t>23</w:t>
            </w:r>
          </w:p>
        </w:tc>
        <w:tc>
          <w:tcPr>
            <w:tcW w:w="0" w:type="auto"/>
            <w:noWrap/>
            <w:hideMark/>
          </w:tcPr>
          <w:p w14:paraId="1E48CD09"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HIS 2015</w:t>
            </w:r>
          </w:p>
        </w:tc>
        <w:tc>
          <w:tcPr>
            <w:tcW w:w="0" w:type="auto"/>
            <w:noWrap/>
            <w:hideMark/>
          </w:tcPr>
          <w:p w14:paraId="69EE8F09"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 xml:space="preserve">20th Century World </w:t>
            </w:r>
            <w:proofErr w:type="gramStart"/>
            <w:r w:rsidRPr="00365EC9">
              <w:t>History:HI</w:t>
            </w:r>
            <w:proofErr w:type="gramEnd"/>
            <w:r w:rsidRPr="00365EC9">
              <w:t>1</w:t>
            </w:r>
          </w:p>
        </w:tc>
        <w:tc>
          <w:tcPr>
            <w:tcW w:w="0" w:type="auto"/>
            <w:noWrap/>
            <w:hideMark/>
          </w:tcPr>
          <w:p w14:paraId="7FF23205"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1,107</w:t>
            </w:r>
          </w:p>
        </w:tc>
      </w:tr>
      <w:tr w:rsidR="00365EC9" w:rsidRPr="00AA6753" w14:paraId="7E7FB0E8"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9B6E98D" w14:textId="77777777" w:rsidR="00AA6753" w:rsidRPr="00365EC9" w:rsidRDefault="00AA6753" w:rsidP="00365EC9">
            <w:r w:rsidRPr="00365EC9">
              <w:t>24</w:t>
            </w:r>
          </w:p>
        </w:tc>
        <w:tc>
          <w:tcPr>
            <w:tcW w:w="0" w:type="auto"/>
            <w:noWrap/>
            <w:hideMark/>
          </w:tcPr>
          <w:p w14:paraId="492A8A42"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PSY 1002</w:t>
            </w:r>
          </w:p>
        </w:tc>
        <w:tc>
          <w:tcPr>
            <w:tcW w:w="0" w:type="auto"/>
            <w:noWrap/>
            <w:hideMark/>
          </w:tcPr>
          <w:p w14:paraId="0006DD1F"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 xml:space="preserve">General Psychology </w:t>
            </w:r>
            <w:proofErr w:type="gramStart"/>
            <w:r w:rsidRPr="00365EC9">
              <w:t>II :</w:t>
            </w:r>
            <w:proofErr w:type="gramEnd"/>
            <w:r w:rsidRPr="00365EC9">
              <w:t xml:space="preserve"> SS3</w:t>
            </w:r>
          </w:p>
        </w:tc>
        <w:tc>
          <w:tcPr>
            <w:tcW w:w="0" w:type="auto"/>
            <w:noWrap/>
            <w:hideMark/>
          </w:tcPr>
          <w:p w14:paraId="225DAB41"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1,069</w:t>
            </w:r>
          </w:p>
        </w:tc>
      </w:tr>
      <w:tr w:rsidR="00365EC9" w:rsidRPr="00AA6753" w14:paraId="09D534A0"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3B2A906" w14:textId="77777777" w:rsidR="00AA6753" w:rsidRPr="00365EC9" w:rsidRDefault="00AA6753" w:rsidP="00365EC9">
            <w:r w:rsidRPr="00365EC9">
              <w:t>25</w:t>
            </w:r>
          </w:p>
        </w:tc>
        <w:tc>
          <w:tcPr>
            <w:tcW w:w="0" w:type="auto"/>
            <w:noWrap/>
            <w:hideMark/>
          </w:tcPr>
          <w:p w14:paraId="780AFEA7"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MAT 2420</w:t>
            </w:r>
          </w:p>
        </w:tc>
        <w:tc>
          <w:tcPr>
            <w:tcW w:w="0" w:type="auto"/>
            <w:noWrap/>
            <w:hideMark/>
          </w:tcPr>
          <w:p w14:paraId="58D844B4"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 xml:space="preserve">Calculus </w:t>
            </w:r>
            <w:proofErr w:type="gramStart"/>
            <w:r w:rsidRPr="00365EC9">
              <w:t>II :</w:t>
            </w:r>
            <w:proofErr w:type="gramEnd"/>
            <w:r w:rsidRPr="00365EC9">
              <w:t xml:space="preserve"> MA1</w:t>
            </w:r>
          </w:p>
        </w:tc>
        <w:tc>
          <w:tcPr>
            <w:tcW w:w="0" w:type="auto"/>
            <w:noWrap/>
            <w:hideMark/>
          </w:tcPr>
          <w:p w14:paraId="7BD086ED"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1,067</w:t>
            </w:r>
          </w:p>
        </w:tc>
      </w:tr>
    </w:tbl>
    <w:p w14:paraId="416C8625" w14:textId="77777777" w:rsidR="00CA40A1" w:rsidRDefault="00CA40A1" w:rsidP="007E4537">
      <w:pPr>
        <w:pStyle w:val="Heading2"/>
      </w:pPr>
    </w:p>
    <w:p w14:paraId="24577247" w14:textId="77777777" w:rsidR="00CA40A1" w:rsidRDefault="00CA40A1">
      <w:pPr>
        <w:spacing w:after="200" w:line="276" w:lineRule="auto"/>
        <w:rPr>
          <w:rFonts w:ascii="Trebuchet MS" w:hAnsi="Trebuchet MS"/>
          <w:b/>
          <w:color w:val="001970"/>
        </w:rPr>
      </w:pPr>
      <w:r>
        <w:br w:type="page"/>
      </w:r>
    </w:p>
    <w:p w14:paraId="2ED3C122" w14:textId="3F0DF747" w:rsidR="00B773AA" w:rsidRDefault="00B773AA" w:rsidP="00B773AA">
      <w:pPr>
        <w:pStyle w:val="Heading2"/>
      </w:pPr>
      <w:r>
        <w:lastRenderedPageBreak/>
        <w:t xml:space="preserve">Appendix </w:t>
      </w:r>
      <w:r w:rsidR="00AF6074">
        <w:t>C</w:t>
      </w:r>
      <w:r>
        <w:t>: GT Pathways Course Credit Hour Differentials</w:t>
      </w:r>
    </w:p>
    <w:p w14:paraId="3AA0D936" w14:textId="7E2ACAF8" w:rsidR="00FA392B" w:rsidRPr="00FA392B" w:rsidRDefault="00FA392B" w:rsidP="00FA392B">
      <w:r>
        <w:t>The following tables include GT Pathways courses within mathematics which have observed differential credit hour assignments</w:t>
      </w:r>
      <w:r w:rsidR="00F803FD">
        <w:t>.</w:t>
      </w:r>
    </w:p>
    <w:p w14:paraId="0680B69C" w14:textId="10F6307F" w:rsidR="008B4FBB" w:rsidRPr="008B4FBB" w:rsidRDefault="008B4FBB" w:rsidP="008B4FBB">
      <w:pPr>
        <w:pStyle w:val="Heading3"/>
      </w:pPr>
      <w:r>
        <w:t>Math for Liberal Arts</w:t>
      </w:r>
    </w:p>
    <w:tbl>
      <w:tblPr>
        <w:tblStyle w:val="ListTable4-Accent2"/>
        <w:tblW w:w="0" w:type="auto"/>
        <w:tblLook w:val="04A0" w:firstRow="1" w:lastRow="0" w:firstColumn="1" w:lastColumn="0" w:noHBand="0" w:noVBand="1"/>
      </w:tblPr>
      <w:tblGrid>
        <w:gridCol w:w="1259"/>
        <w:gridCol w:w="4584"/>
        <w:gridCol w:w="1465"/>
        <w:gridCol w:w="2142"/>
      </w:tblGrid>
      <w:tr w:rsidR="008B4FBB" w:rsidRPr="00B773AA" w14:paraId="6E3025EF" w14:textId="77777777" w:rsidTr="005D2E3D">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001970" w:themeFill="accent1"/>
            <w:noWrap/>
            <w:hideMark/>
          </w:tcPr>
          <w:p w14:paraId="626B11EB" w14:textId="77777777" w:rsidR="008B4FBB" w:rsidRPr="00B773AA" w:rsidRDefault="008B4FBB" w:rsidP="00E2124D">
            <w:pPr>
              <w:jc w:val="left"/>
              <w:rPr>
                <w:color w:val="FFFFFF" w:themeColor="background1"/>
              </w:rPr>
            </w:pPr>
            <w:r w:rsidRPr="00B773AA">
              <w:rPr>
                <w:color w:val="FFFFFF" w:themeColor="background1"/>
              </w:rPr>
              <w:t>Institution</w:t>
            </w:r>
          </w:p>
        </w:tc>
        <w:tc>
          <w:tcPr>
            <w:tcW w:w="0" w:type="auto"/>
            <w:shd w:val="clear" w:color="auto" w:fill="001970" w:themeFill="accent1"/>
            <w:noWrap/>
            <w:hideMark/>
          </w:tcPr>
          <w:p w14:paraId="409B4B3F" w14:textId="71C4E55B" w:rsidR="008B4FBB" w:rsidRPr="00B773AA" w:rsidRDefault="008B4FBB" w:rsidP="00E2124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GT Pathways </w:t>
            </w:r>
            <w:r w:rsidRPr="00B773AA">
              <w:rPr>
                <w:color w:val="FFFFFF" w:themeColor="background1"/>
              </w:rPr>
              <w:t>Course</w:t>
            </w:r>
          </w:p>
        </w:tc>
        <w:tc>
          <w:tcPr>
            <w:tcW w:w="0" w:type="auto"/>
            <w:shd w:val="clear" w:color="auto" w:fill="001970" w:themeFill="accent1"/>
            <w:noWrap/>
            <w:hideMark/>
          </w:tcPr>
          <w:p w14:paraId="20A298CA" w14:textId="77777777" w:rsidR="008B4FBB" w:rsidRPr="00B773AA" w:rsidRDefault="008B4FBB" w:rsidP="00E2124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773AA">
              <w:rPr>
                <w:color w:val="FFFFFF" w:themeColor="background1"/>
              </w:rPr>
              <w:t>Credit Hours</w:t>
            </w:r>
          </w:p>
        </w:tc>
        <w:tc>
          <w:tcPr>
            <w:tcW w:w="2142" w:type="dxa"/>
            <w:shd w:val="clear" w:color="auto" w:fill="001970" w:themeFill="accent1"/>
            <w:noWrap/>
            <w:hideMark/>
          </w:tcPr>
          <w:p w14:paraId="18CC3C40" w14:textId="77777777" w:rsidR="008B4FBB" w:rsidRPr="00B773AA" w:rsidRDefault="008B4FBB" w:rsidP="00E2124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773AA">
              <w:rPr>
                <w:color w:val="FFFFFF" w:themeColor="background1"/>
              </w:rPr>
              <w:t>Credit Difference</w:t>
            </w:r>
          </w:p>
        </w:tc>
      </w:tr>
      <w:tr w:rsidR="008B4FBB" w:rsidRPr="00B773AA" w14:paraId="6731DAD0" w14:textId="77777777" w:rsidTr="005D2E3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7A6DBCD8" w14:textId="77777777" w:rsidR="008B4FBB" w:rsidRPr="00DD3620" w:rsidRDefault="008B4FBB" w:rsidP="00E2124D">
            <w:r w:rsidRPr="00DD3620">
              <w:t>Two-year</w:t>
            </w:r>
          </w:p>
        </w:tc>
        <w:tc>
          <w:tcPr>
            <w:tcW w:w="0" w:type="auto"/>
            <w:hideMark/>
          </w:tcPr>
          <w:p w14:paraId="5EF29ED5" w14:textId="77777777" w:rsidR="008B4FBB" w:rsidRPr="00DD3620" w:rsidRDefault="008B4FBB" w:rsidP="00E2124D">
            <w:pPr>
              <w:cnfStyle w:val="000000100000" w:firstRow="0" w:lastRow="0" w:firstColumn="0" w:lastColumn="0" w:oddVBand="0" w:evenVBand="0" w:oddHBand="1" w:evenHBand="0" w:firstRowFirstColumn="0" w:firstRowLastColumn="0" w:lastRowFirstColumn="0" w:lastRowLastColumn="0"/>
            </w:pPr>
            <w:r w:rsidRPr="00DD3620">
              <w:t>MAT 1240 Math for the Liberal Arts</w:t>
            </w:r>
          </w:p>
        </w:tc>
        <w:tc>
          <w:tcPr>
            <w:tcW w:w="0" w:type="auto"/>
            <w:noWrap/>
            <w:hideMark/>
          </w:tcPr>
          <w:p w14:paraId="1CC42EAB" w14:textId="77777777" w:rsidR="008B4FBB" w:rsidRPr="00DD3620" w:rsidRDefault="008B4FBB" w:rsidP="00E2124D">
            <w:pPr>
              <w:cnfStyle w:val="000000100000" w:firstRow="0" w:lastRow="0" w:firstColumn="0" w:lastColumn="0" w:oddVBand="0" w:evenVBand="0" w:oddHBand="1" w:evenHBand="0" w:firstRowFirstColumn="0" w:firstRowLastColumn="0" w:lastRowFirstColumn="0" w:lastRowLastColumn="0"/>
            </w:pPr>
            <w:r w:rsidRPr="00DD3620">
              <w:t>4</w:t>
            </w:r>
          </w:p>
        </w:tc>
        <w:tc>
          <w:tcPr>
            <w:tcW w:w="2142" w:type="dxa"/>
            <w:noWrap/>
            <w:hideMark/>
          </w:tcPr>
          <w:p w14:paraId="2D3F0F11" w14:textId="3667F1B1" w:rsidR="008B4FBB" w:rsidRPr="00DD3620" w:rsidRDefault="008B4FBB" w:rsidP="00E2124D">
            <w:pPr>
              <w:cnfStyle w:val="000000100000" w:firstRow="0" w:lastRow="0" w:firstColumn="0" w:lastColumn="0" w:oddVBand="0" w:evenVBand="0" w:oddHBand="1" w:evenHBand="0" w:firstRowFirstColumn="0" w:firstRowLastColumn="0" w:lastRowFirstColumn="0" w:lastRowLastColumn="0"/>
            </w:pPr>
            <w:r w:rsidRPr="00DD3620">
              <w:t>0</w:t>
            </w:r>
          </w:p>
        </w:tc>
      </w:tr>
      <w:tr w:rsidR="008B4FBB" w:rsidRPr="00B773AA" w14:paraId="2A9D3770" w14:textId="77777777" w:rsidTr="005D2E3D">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7DC5D263" w14:textId="77777777" w:rsidR="008B4FBB" w:rsidRPr="00B773AA" w:rsidRDefault="008B4FBB" w:rsidP="00E2124D">
            <w:r w:rsidRPr="00B773AA">
              <w:t>Four-year</w:t>
            </w:r>
          </w:p>
        </w:tc>
        <w:tc>
          <w:tcPr>
            <w:tcW w:w="0" w:type="auto"/>
            <w:hideMark/>
          </w:tcPr>
          <w:p w14:paraId="29251D9F"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MATH 120 Mathematics and Liberal Arts</w:t>
            </w:r>
          </w:p>
        </w:tc>
        <w:tc>
          <w:tcPr>
            <w:tcW w:w="0" w:type="auto"/>
            <w:noWrap/>
            <w:hideMark/>
          </w:tcPr>
          <w:p w14:paraId="0FEE27C5"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3</w:t>
            </w:r>
          </w:p>
        </w:tc>
        <w:tc>
          <w:tcPr>
            <w:tcW w:w="2142" w:type="dxa"/>
            <w:noWrap/>
            <w:hideMark/>
          </w:tcPr>
          <w:p w14:paraId="3E785D39"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-1</w:t>
            </w:r>
          </w:p>
        </w:tc>
      </w:tr>
      <w:tr w:rsidR="008B4FBB" w:rsidRPr="00B773AA" w14:paraId="3DE99F82" w14:textId="77777777" w:rsidTr="005D2E3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69A0455C" w14:textId="77777777" w:rsidR="008B4FBB" w:rsidRPr="00B773AA" w:rsidRDefault="008B4FBB" w:rsidP="00E2124D">
            <w:r w:rsidRPr="00B773AA">
              <w:t>Four-year</w:t>
            </w:r>
          </w:p>
        </w:tc>
        <w:tc>
          <w:tcPr>
            <w:tcW w:w="0" w:type="auto"/>
            <w:hideMark/>
          </w:tcPr>
          <w:p w14:paraId="4491DA2D"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MATH 105 Mathematics for the Liberal Arts</w:t>
            </w:r>
          </w:p>
        </w:tc>
        <w:tc>
          <w:tcPr>
            <w:tcW w:w="0" w:type="auto"/>
            <w:noWrap/>
            <w:hideMark/>
          </w:tcPr>
          <w:p w14:paraId="2A6BBE93"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3</w:t>
            </w:r>
          </w:p>
        </w:tc>
        <w:tc>
          <w:tcPr>
            <w:tcW w:w="2142" w:type="dxa"/>
            <w:noWrap/>
            <w:hideMark/>
          </w:tcPr>
          <w:p w14:paraId="027AD929"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-1</w:t>
            </w:r>
          </w:p>
        </w:tc>
      </w:tr>
      <w:tr w:rsidR="008B4FBB" w:rsidRPr="00B773AA" w14:paraId="384D6403" w14:textId="77777777" w:rsidTr="005D2E3D">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7B4B60B1" w14:textId="77777777" w:rsidR="008B4FBB" w:rsidRPr="00B773AA" w:rsidRDefault="008B4FBB" w:rsidP="00E2124D">
            <w:r w:rsidRPr="00B773AA">
              <w:t>Four-year</w:t>
            </w:r>
          </w:p>
        </w:tc>
        <w:tc>
          <w:tcPr>
            <w:tcW w:w="0" w:type="auto"/>
            <w:hideMark/>
          </w:tcPr>
          <w:p w14:paraId="15C9593E"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MATH 1010 Mathematics for the Liberal Arts</w:t>
            </w:r>
          </w:p>
        </w:tc>
        <w:tc>
          <w:tcPr>
            <w:tcW w:w="0" w:type="auto"/>
            <w:noWrap/>
            <w:hideMark/>
          </w:tcPr>
          <w:p w14:paraId="68716B93"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3</w:t>
            </w:r>
          </w:p>
        </w:tc>
        <w:tc>
          <w:tcPr>
            <w:tcW w:w="2142" w:type="dxa"/>
            <w:noWrap/>
            <w:hideMark/>
          </w:tcPr>
          <w:p w14:paraId="6238CE40"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-1</w:t>
            </w:r>
          </w:p>
        </w:tc>
      </w:tr>
    </w:tbl>
    <w:p w14:paraId="03C07B16" w14:textId="054C5061" w:rsidR="008B4FBB" w:rsidRDefault="008B4FBB" w:rsidP="008B4FBB">
      <w:pPr>
        <w:pStyle w:val="Heading3"/>
      </w:pPr>
      <w:r>
        <w:t>College Algebra</w:t>
      </w:r>
    </w:p>
    <w:tbl>
      <w:tblPr>
        <w:tblStyle w:val="ListTable4-Accent2"/>
        <w:tblW w:w="0" w:type="auto"/>
        <w:tblLook w:val="04A0" w:firstRow="1" w:lastRow="0" w:firstColumn="1" w:lastColumn="0" w:noHBand="0" w:noVBand="1"/>
      </w:tblPr>
      <w:tblGrid>
        <w:gridCol w:w="1301"/>
        <w:gridCol w:w="4549"/>
        <w:gridCol w:w="1530"/>
        <w:gridCol w:w="2070"/>
      </w:tblGrid>
      <w:tr w:rsidR="008B4FBB" w:rsidRPr="00B773AA" w14:paraId="4D9A8F39" w14:textId="77777777" w:rsidTr="005D2E3D">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1970" w:themeFill="accent1"/>
            <w:noWrap/>
          </w:tcPr>
          <w:p w14:paraId="176BFCF0" w14:textId="049ECC07" w:rsidR="008B4FBB" w:rsidRPr="008B4FBB" w:rsidRDefault="008B4FBB" w:rsidP="00E2124D">
            <w:pPr>
              <w:jc w:val="left"/>
              <w:rPr>
                <w:color w:val="FFFFFF" w:themeColor="background1"/>
              </w:rPr>
            </w:pPr>
            <w:r w:rsidRPr="008B4FBB">
              <w:rPr>
                <w:color w:val="FFFFFF" w:themeColor="background1"/>
              </w:rPr>
              <w:t>Institution</w:t>
            </w:r>
          </w:p>
        </w:tc>
        <w:tc>
          <w:tcPr>
            <w:tcW w:w="4549" w:type="dxa"/>
            <w:shd w:val="clear" w:color="auto" w:fill="001970" w:themeFill="accent1"/>
            <w:noWrap/>
          </w:tcPr>
          <w:p w14:paraId="24D34F2B" w14:textId="70D554C9" w:rsidR="008B4FBB" w:rsidRPr="008B4FBB" w:rsidRDefault="008B4FBB" w:rsidP="00E2124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GT Pathways </w:t>
            </w:r>
            <w:r w:rsidRPr="00B773AA">
              <w:rPr>
                <w:color w:val="FFFFFF" w:themeColor="background1"/>
              </w:rPr>
              <w:t>Course</w:t>
            </w:r>
          </w:p>
        </w:tc>
        <w:tc>
          <w:tcPr>
            <w:tcW w:w="1530" w:type="dxa"/>
            <w:shd w:val="clear" w:color="auto" w:fill="001970" w:themeFill="accent1"/>
            <w:noWrap/>
          </w:tcPr>
          <w:p w14:paraId="5990DF24" w14:textId="09834CC1" w:rsidR="008B4FBB" w:rsidRPr="008B4FBB" w:rsidRDefault="008B4FBB" w:rsidP="00E2124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B4FBB">
              <w:rPr>
                <w:color w:val="FFFFFF" w:themeColor="background1"/>
              </w:rPr>
              <w:t>Credit Hours</w:t>
            </w:r>
          </w:p>
        </w:tc>
        <w:tc>
          <w:tcPr>
            <w:tcW w:w="2070" w:type="dxa"/>
            <w:shd w:val="clear" w:color="auto" w:fill="001970" w:themeFill="accent1"/>
            <w:noWrap/>
            <w:hideMark/>
          </w:tcPr>
          <w:p w14:paraId="25CD3C99" w14:textId="402077C6" w:rsidR="008B4FBB" w:rsidRPr="008B4FBB" w:rsidRDefault="008B4FBB" w:rsidP="00E2124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B4FBB">
              <w:rPr>
                <w:color w:val="FFFFFF" w:themeColor="background1"/>
              </w:rPr>
              <w:t>Credit Difference</w:t>
            </w:r>
          </w:p>
        </w:tc>
      </w:tr>
      <w:tr w:rsidR="008B4FBB" w:rsidRPr="00B773AA" w14:paraId="7F37B62D" w14:textId="77777777" w:rsidTr="005D2E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tcPr>
          <w:p w14:paraId="7BAA950D" w14:textId="5A6AA784" w:rsidR="008B4FBB" w:rsidRPr="00DD3620" w:rsidRDefault="008B4FBB" w:rsidP="00E2124D">
            <w:r w:rsidRPr="00DD3620">
              <w:t>Two-year</w:t>
            </w:r>
          </w:p>
        </w:tc>
        <w:tc>
          <w:tcPr>
            <w:tcW w:w="4549" w:type="dxa"/>
            <w:noWrap/>
          </w:tcPr>
          <w:p w14:paraId="5A2507B6" w14:textId="48A96452" w:rsidR="008B4FBB" w:rsidRPr="00DD3620" w:rsidRDefault="008B4FBB" w:rsidP="005D2E3D">
            <w:pPr>
              <w:cnfStyle w:val="000000100000" w:firstRow="0" w:lastRow="0" w:firstColumn="0" w:lastColumn="0" w:oddVBand="0" w:evenVBand="0" w:oddHBand="1" w:evenHBand="0" w:firstRowFirstColumn="0" w:firstRowLastColumn="0" w:lastRowFirstColumn="0" w:lastRowLastColumn="0"/>
            </w:pPr>
            <w:r w:rsidRPr="00DD3620">
              <w:t>MAT 1340 College Algebra</w:t>
            </w:r>
          </w:p>
        </w:tc>
        <w:tc>
          <w:tcPr>
            <w:tcW w:w="1530" w:type="dxa"/>
            <w:noWrap/>
          </w:tcPr>
          <w:p w14:paraId="59A5B1D9" w14:textId="257A70D0" w:rsidR="008B4FBB" w:rsidRPr="00DD3620" w:rsidRDefault="008B4FBB" w:rsidP="005D2E3D">
            <w:pPr>
              <w:cnfStyle w:val="000000100000" w:firstRow="0" w:lastRow="0" w:firstColumn="0" w:lastColumn="0" w:oddVBand="0" w:evenVBand="0" w:oddHBand="1" w:evenHBand="0" w:firstRowFirstColumn="0" w:firstRowLastColumn="0" w:lastRowFirstColumn="0" w:lastRowLastColumn="0"/>
            </w:pPr>
            <w:r w:rsidRPr="00DD3620">
              <w:t>4</w:t>
            </w:r>
          </w:p>
        </w:tc>
        <w:tc>
          <w:tcPr>
            <w:tcW w:w="2070" w:type="dxa"/>
            <w:noWrap/>
          </w:tcPr>
          <w:p w14:paraId="44A4BEC7" w14:textId="6EB2A14A" w:rsidR="008B4FBB" w:rsidRPr="00DD3620" w:rsidRDefault="00DD3620" w:rsidP="005D2E3D">
            <w:pPr>
              <w:cnfStyle w:val="000000100000" w:firstRow="0" w:lastRow="0" w:firstColumn="0" w:lastColumn="0" w:oddVBand="0" w:evenVBand="0" w:oddHBand="1" w:evenHBand="0" w:firstRowFirstColumn="0" w:firstRowLastColumn="0" w:lastRowFirstColumn="0" w:lastRowLastColumn="0"/>
            </w:pPr>
            <w:r w:rsidRPr="00DD3620">
              <w:t>0</w:t>
            </w:r>
          </w:p>
        </w:tc>
      </w:tr>
      <w:tr w:rsidR="008B4FBB" w:rsidRPr="00B773AA" w14:paraId="12480517" w14:textId="77777777" w:rsidTr="005D2E3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5D35DECB" w14:textId="77777777" w:rsidR="008B4FBB" w:rsidRPr="00B773AA" w:rsidRDefault="008B4FBB" w:rsidP="00E2124D">
            <w:r w:rsidRPr="00B773AA">
              <w:t>Four-year</w:t>
            </w:r>
          </w:p>
        </w:tc>
        <w:tc>
          <w:tcPr>
            <w:tcW w:w="4549" w:type="dxa"/>
            <w:noWrap/>
            <w:hideMark/>
          </w:tcPr>
          <w:p w14:paraId="76B0F15A"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MATH 106 College Algebra</w:t>
            </w:r>
          </w:p>
        </w:tc>
        <w:tc>
          <w:tcPr>
            <w:tcW w:w="1530" w:type="dxa"/>
            <w:noWrap/>
            <w:hideMark/>
          </w:tcPr>
          <w:p w14:paraId="7D280134"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3</w:t>
            </w:r>
          </w:p>
        </w:tc>
        <w:tc>
          <w:tcPr>
            <w:tcW w:w="2070" w:type="dxa"/>
            <w:noWrap/>
            <w:hideMark/>
          </w:tcPr>
          <w:p w14:paraId="02C31D4F"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-1</w:t>
            </w:r>
          </w:p>
        </w:tc>
      </w:tr>
      <w:tr w:rsidR="008B4FBB" w:rsidRPr="00B773AA" w14:paraId="6677B7E3" w14:textId="77777777" w:rsidTr="005D2E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1A7127C4" w14:textId="77777777" w:rsidR="008B4FBB" w:rsidRPr="00B773AA" w:rsidRDefault="008B4FBB" w:rsidP="00E2124D">
            <w:r w:rsidRPr="00B773AA">
              <w:t>Four-year</w:t>
            </w:r>
          </w:p>
        </w:tc>
        <w:tc>
          <w:tcPr>
            <w:tcW w:w="4549" w:type="dxa"/>
            <w:noWrap/>
            <w:hideMark/>
          </w:tcPr>
          <w:p w14:paraId="020F55A9"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MATH 113 College Algebra</w:t>
            </w:r>
          </w:p>
        </w:tc>
        <w:tc>
          <w:tcPr>
            <w:tcW w:w="1530" w:type="dxa"/>
            <w:noWrap/>
            <w:hideMark/>
          </w:tcPr>
          <w:p w14:paraId="2155E480"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4</w:t>
            </w:r>
          </w:p>
        </w:tc>
        <w:tc>
          <w:tcPr>
            <w:tcW w:w="2070" w:type="dxa"/>
            <w:noWrap/>
            <w:hideMark/>
          </w:tcPr>
          <w:p w14:paraId="772BCD81"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18310D18" w14:textId="77777777" w:rsidTr="005D2E3D">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4F4F5575" w14:textId="77777777" w:rsidR="008B4FBB" w:rsidRPr="00B773AA" w:rsidRDefault="008B4FBB" w:rsidP="00E2124D">
            <w:r w:rsidRPr="00B773AA">
              <w:t>Four-year</w:t>
            </w:r>
          </w:p>
        </w:tc>
        <w:tc>
          <w:tcPr>
            <w:tcW w:w="4549" w:type="dxa"/>
            <w:hideMark/>
          </w:tcPr>
          <w:p w14:paraId="318E37CE"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MATH 113R College Algebra with Review</w:t>
            </w:r>
          </w:p>
        </w:tc>
        <w:tc>
          <w:tcPr>
            <w:tcW w:w="1530" w:type="dxa"/>
            <w:noWrap/>
            <w:hideMark/>
          </w:tcPr>
          <w:p w14:paraId="37FFAC8F"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5</w:t>
            </w:r>
          </w:p>
        </w:tc>
        <w:tc>
          <w:tcPr>
            <w:tcW w:w="2070" w:type="dxa"/>
            <w:noWrap/>
            <w:hideMark/>
          </w:tcPr>
          <w:p w14:paraId="668BB1CE"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1</w:t>
            </w:r>
          </w:p>
        </w:tc>
      </w:tr>
      <w:tr w:rsidR="00DD3620" w:rsidRPr="00B773AA" w14:paraId="45207582" w14:textId="77777777" w:rsidTr="005D2E3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47D0ADE2" w14:textId="55E28C4B" w:rsidR="00DD3620" w:rsidRPr="00DD3620" w:rsidRDefault="00DD3620" w:rsidP="00E2124D">
            <w:pPr>
              <w:rPr>
                <w:b w:val="0"/>
                <w:bCs w:val="0"/>
              </w:rPr>
            </w:pPr>
            <w:r w:rsidRPr="00B773AA">
              <w:t>Four-year</w:t>
            </w:r>
            <w:r>
              <w:t>*</w:t>
            </w:r>
          </w:p>
        </w:tc>
        <w:tc>
          <w:tcPr>
            <w:tcW w:w="4549" w:type="dxa"/>
            <w:hideMark/>
          </w:tcPr>
          <w:p w14:paraId="2BAB840E" w14:textId="77777777" w:rsidR="00DD3620" w:rsidRPr="00B773AA" w:rsidRDefault="00DD3620" w:rsidP="005D2E3D">
            <w:pPr>
              <w:cnfStyle w:val="000000100000" w:firstRow="0" w:lastRow="0" w:firstColumn="0" w:lastColumn="0" w:oddVBand="0" w:evenVBand="0" w:oddHBand="1" w:evenHBand="0" w:firstRowFirstColumn="0" w:firstRowLastColumn="0" w:lastRowFirstColumn="0" w:lastRowLastColumn="0"/>
            </w:pPr>
            <w:r w:rsidRPr="00B773AA">
              <w:t>MATH 117 College Algebra in Context I</w:t>
            </w:r>
          </w:p>
        </w:tc>
        <w:tc>
          <w:tcPr>
            <w:tcW w:w="1530" w:type="dxa"/>
            <w:noWrap/>
            <w:hideMark/>
          </w:tcPr>
          <w:p w14:paraId="6DF5D577" w14:textId="77777777" w:rsidR="00DD3620" w:rsidRPr="00B773AA" w:rsidRDefault="00DD3620" w:rsidP="005D2E3D">
            <w:pPr>
              <w:cnfStyle w:val="000000100000" w:firstRow="0" w:lastRow="0" w:firstColumn="0" w:lastColumn="0" w:oddVBand="0" w:evenVBand="0" w:oddHBand="1" w:evenHBand="0" w:firstRowFirstColumn="0" w:firstRowLastColumn="0" w:lastRowFirstColumn="0" w:lastRowLastColumn="0"/>
            </w:pPr>
            <w:r w:rsidRPr="00B773AA">
              <w:t>1</w:t>
            </w:r>
          </w:p>
        </w:tc>
        <w:tc>
          <w:tcPr>
            <w:tcW w:w="2070" w:type="dxa"/>
            <w:noWrap/>
            <w:hideMark/>
          </w:tcPr>
          <w:p w14:paraId="0B0B21E8" w14:textId="639FEA1E" w:rsidR="00DD3620" w:rsidRPr="00B773AA" w:rsidRDefault="00DD3620" w:rsidP="005D2E3D">
            <w:pPr>
              <w:cnfStyle w:val="000000100000" w:firstRow="0" w:lastRow="0" w:firstColumn="0" w:lastColumn="0" w:oddVBand="0" w:evenVBand="0" w:oddHBand="1" w:evenHBand="0" w:firstRowFirstColumn="0" w:firstRowLastColumn="0" w:lastRowFirstColumn="0" w:lastRowLastColumn="0"/>
            </w:pPr>
            <w:r>
              <w:t>0</w:t>
            </w:r>
          </w:p>
        </w:tc>
      </w:tr>
      <w:tr w:rsidR="00DD3620" w:rsidRPr="00B773AA" w14:paraId="5A78709B" w14:textId="77777777" w:rsidTr="005D2E3D">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4801961A" w14:textId="0C726487" w:rsidR="00DD3620" w:rsidRPr="00B773AA" w:rsidRDefault="00DD3620" w:rsidP="003A2908"/>
        </w:tc>
        <w:tc>
          <w:tcPr>
            <w:tcW w:w="4549" w:type="dxa"/>
            <w:hideMark/>
          </w:tcPr>
          <w:p w14:paraId="7FE8356A" w14:textId="77777777" w:rsidR="00DD3620" w:rsidRPr="00B773AA" w:rsidRDefault="00DD3620" w:rsidP="005D2E3D">
            <w:pPr>
              <w:cnfStyle w:val="000000010000" w:firstRow="0" w:lastRow="0" w:firstColumn="0" w:lastColumn="0" w:oddVBand="0" w:evenVBand="0" w:oddHBand="0" w:evenHBand="1" w:firstRowFirstColumn="0" w:firstRowLastColumn="0" w:lastRowFirstColumn="0" w:lastRowLastColumn="0"/>
            </w:pPr>
            <w:r w:rsidRPr="00B773AA">
              <w:t>MATH 118 College Algebra in Context II</w:t>
            </w:r>
          </w:p>
        </w:tc>
        <w:tc>
          <w:tcPr>
            <w:tcW w:w="1530" w:type="dxa"/>
            <w:noWrap/>
            <w:hideMark/>
          </w:tcPr>
          <w:p w14:paraId="0A5618C6" w14:textId="77777777" w:rsidR="00DD3620" w:rsidRPr="00B773AA" w:rsidRDefault="00DD3620" w:rsidP="005D2E3D">
            <w:pPr>
              <w:cnfStyle w:val="000000010000" w:firstRow="0" w:lastRow="0" w:firstColumn="0" w:lastColumn="0" w:oddVBand="0" w:evenVBand="0" w:oddHBand="0" w:evenHBand="1" w:firstRowFirstColumn="0" w:firstRowLastColumn="0" w:lastRowFirstColumn="0" w:lastRowLastColumn="0"/>
            </w:pPr>
            <w:r w:rsidRPr="00B773AA">
              <w:t>1</w:t>
            </w:r>
          </w:p>
        </w:tc>
        <w:tc>
          <w:tcPr>
            <w:tcW w:w="2070" w:type="dxa"/>
            <w:noWrap/>
            <w:hideMark/>
          </w:tcPr>
          <w:p w14:paraId="240121BF" w14:textId="08E57B43" w:rsidR="00DD3620" w:rsidRPr="00B773AA" w:rsidRDefault="00DD3620" w:rsidP="005D2E3D">
            <w:pPr>
              <w:cnfStyle w:val="000000010000" w:firstRow="0" w:lastRow="0" w:firstColumn="0" w:lastColumn="0" w:oddVBand="0" w:evenVBand="0" w:oddHBand="0" w:evenHBand="1" w:firstRowFirstColumn="0" w:firstRowLastColumn="0" w:lastRowFirstColumn="0" w:lastRowLastColumn="0"/>
            </w:pPr>
            <w:r>
              <w:t>0</w:t>
            </w:r>
          </w:p>
        </w:tc>
      </w:tr>
      <w:tr w:rsidR="00DD3620" w:rsidRPr="00B773AA" w14:paraId="76B36853" w14:textId="77777777" w:rsidTr="005D2E3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56572C9D" w14:textId="0BC762B1" w:rsidR="00DD3620" w:rsidRPr="00B773AA" w:rsidRDefault="00DD3620" w:rsidP="003A2908"/>
        </w:tc>
        <w:tc>
          <w:tcPr>
            <w:tcW w:w="4549" w:type="dxa"/>
            <w:hideMark/>
          </w:tcPr>
          <w:p w14:paraId="69575B86" w14:textId="77777777" w:rsidR="00DD3620" w:rsidRPr="00B773AA" w:rsidRDefault="00DD3620" w:rsidP="005D2E3D">
            <w:pPr>
              <w:cnfStyle w:val="000000100000" w:firstRow="0" w:lastRow="0" w:firstColumn="0" w:lastColumn="0" w:oddVBand="0" w:evenVBand="0" w:oddHBand="1" w:evenHBand="0" w:firstRowFirstColumn="0" w:firstRowLastColumn="0" w:lastRowFirstColumn="0" w:lastRowLastColumn="0"/>
            </w:pPr>
            <w:r w:rsidRPr="00B773AA">
              <w:t>MATH 124 Logarithmic and Exponential Functions</w:t>
            </w:r>
          </w:p>
        </w:tc>
        <w:tc>
          <w:tcPr>
            <w:tcW w:w="1530" w:type="dxa"/>
            <w:noWrap/>
            <w:hideMark/>
          </w:tcPr>
          <w:p w14:paraId="575F1160" w14:textId="77777777" w:rsidR="00DD3620" w:rsidRPr="00B773AA" w:rsidRDefault="00DD3620" w:rsidP="005D2E3D">
            <w:pPr>
              <w:cnfStyle w:val="000000100000" w:firstRow="0" w:lastRow="0" w:firstColumn="0" w:lastColumn="0" w:oddVBand="0" w:evenVBand="0" w:oddHBand="1" w:evenHBand="0" w:firstRowFirstColumn="0" w:firstRowLastColumn="0" w:lastRowFirstColumn="0" w:lastRowLastColumn="0"/>
            </w:pPr>
            <w:r w:rsidRPr="00B773AA">
              <w:t>1</w:t>
            </w:r>
          </w:p>
        </w:tc>
        <w:tc>
          <w:tcPr>
            <w:tcW w:w="2070" w:type="dxa"/>
            <w:noWrap/>
            <w:hideMark/>
          </w:tcPr>
          <w:p w14:paraId="752A66B7" w14:textId="66B65E34" w:rsidR="00DD3620" w:rsidRPr="00B773AA" w:rsidRDefault="00DD3620" w:rsidP="005D2E3D">
            <w:pPr>
              <w:cnfStyle w:val="000000100000" w:firstRow="0" w:lastRow="0" w:firstColumn="0" w:lastColumn="0" w:oddVBand="0" w:evenVBand="0" w:oddHBand="1" w:evenHBand="0" w:firstRowFirstColumn="0" w:firstRowLastColumn="0" w:lastRowFirstColumn="0" w:lastRowLastColumn="0"/>
            </w:pPr>
            <w:r>
              <w:t>0</w:t>
            </w:r>
          </w:p>
        </w:tc>
      </w:tr>
      <w:tr w:rsidR="00DD3620" w:rsidRPr="00B773AA" w14:paraId="71117E9B" w14:textId="77777777" w:rsidTr="005D2E3D">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74867BE1" w14:textId="5FE3E032" w:rsidR="00DD3620" w:rsidRPr="00B773AA" w:rsidRDefault="00DD3620" w:rsidP="003A2908"/>
        </w:tc>
        <w:tc>
          <w:tcPr>
            <w:tcW w:w="4549" w:type="dxa"/>
            <w:hideMark/>
          </w:tcPr>
          <w:p w14:paraId="664B4AFE" w14:textId="77777777" w:rsidR="00DD3620" w:rsidRPr="00B773AA" w:rsidRDefault="00DD3620" w:rsidP="005D2E3D">
            <w:pPr>
              <w:cnfStyle w:val="000000010000" w:firstRow="0" w:lastRow="0" w:firstColumn="0" w:lastColumn="0" w:oddVBand="0" w:evenVBand="0" w:oddHBand="0" w:evenHBand="1" w:firstRowFirstColumn="0" w:firstRowLastColumn="0" w:lastRowFirstColumn="0" w:lastRowLastColumn="0"/>
            </w:pPr>
            <w:r w:rsidRPr="00B773AA">
              <w:t>MATH 125 Numerical Trigonometry</w:t>
            </w:r>
          </w:p>
        </w:tc>
        <w:tc>
          <w:tcPr>
            <w:tcW w:w="1530" w:type="dxa"/>
            <w:noWrap/>
            <w:hideMark/>
          </w:tcPr>
          <w:p w14:paraId="7188CD9C" w14:textId="77777777" w:rsidR="00DD3620" w:rsidRPr="00B773AA" w:rsidRDefault="00DD3620" w:rsidP="005D2E3D">
            <w:pPr>
              <w:cnfStyle w:val="000000010000" w:firstRow="0" w:lastRow="0" w:firstColumn="0" w:lastColumn="0" w:oddVBand="0" w:evenVBand="0" w:oddHBand="0" w:evenHBand="1" w:firstRowFirstColumn="0" w:firstRowLastColumn="0" w:lastRowFirstColumn="0" w:lastRowLastColumn="0"/>
            </w:pPr>
            <w:r w:rsidRPr="00B773AA">
              <w:t>1</w:t>
            </w:r>
          </w:p>
        </w:tc>
        <w:tc>
          <w:tcPr>
            <w:tcW w:w="2070" w:type="dxa"/>
            <w:noWrap/>
            <w:hideMark/>
          </w:tcPr>
          <w:p w14:paraId="2844C39F" w14:textId="7D48D8D0" w:rsidR="00DD3620" w:rsidRPr="00B773AA" w:rsidRDefault="00DD3620" w:rsidP="005D2E3D">
            <w:pPr>
              <w:cnfStyle w:val="000000010000" w:firstRow="0" w:lastRow="0" w:firstColumn="0" w:lastColumn="0" w:oddVBand="0" w:evenVBand="0" w:oddHBand="0" w:evenHBand="1" w:firstRowFirstColumn="0" w:firstRowLastColumn="0" w:lastRowFirstColumn="0" w:lastRowLastColumn="0"/>
            </w:pPr>
            <w:r>
              <w:t>0</w:t>
            </w:r>
          </w:p>
        </w:tc>
      </w:tr>
      <w:tr w:rsidR="008B4FBB" w:rsidRPr="00B773AA" w14:paraId="250DBDAB" w14:textId="77777777" w:rsidTr="005D2E3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066044B0" w14:textId="77777777" w:rsidR="008B4FBB" w:rsidRPr="00B773AA" w:rsidRDefault="008B4FBB" w:rsidP="008B4FBB">
            <w:r w:rsidRPr="00B773AA">
              <w:t>Four-year</w:t>
            </w:r>
          </w:p>
        </w:tc>
        <w:tc>
          <w:tcPr>
            <w:tcW w:w="4549" w:type="dxa"/>
            <w:hideMark/>
          </w:tcPr>
          <w:p w14:paraId="3637D221"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MATH 126 Analytic Trigonometry</w:t>
            </w:r>
          </w:p>
        </w:tc>
        <w:tc>
          <w:tcPr>
            <w:tcW w:w="1530" w:type="dxa"/>
            <w:noWrap/>
            <w:hideMark/>
          </w:tcPr>
          <w:p w14:paraId="16850CB0"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1</w:t>
            </w:r>
          </w:p>
        </w:tc>
        <w:tc>
          <w:tcPr>
            <w:tcW w:w="2070" w:type="dxa"/>
            <w:noWrap/>
            <w:hideMark/>
          </w:tcPr>
          <w:p w14:paraId="09448778"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p>
        </w:tc>
      </w:tr>
      <w:tr w:rsidR="008B4FBB" w:rsidRPr="00B773AA" w14:paraId="0896DB6C" w14:textId="77777777" w:rsidTr="005D2E3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6A9CC9C2" w14:textId="77777777" w:rsidR="008B4FBB" w:rsidRPr="00B773AA" w:rsidRDefault="008B4FBB" w:rsidP="008B4FBB">
            <w:r w:rsidRPr="00B773AA">
              <w:t>Four-year</w:t>
            </w:r>
          </w:p>
        </w:tc>
        <w:tc>
          <w:tcPr>
            <w:tcW w:w="4549" w:type="dxa"/>
            <w:noWrap/>
            <w:hideMark/>
          </w:tcPr>
          <w:p w14:paraId="1BF4F7B0"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MTH 122 College Algebra</w:t>
            </w:r>
          </w:p>
        </w:tc>
        <w:tc>
          <w:tcPr>
            <w:tcW w:w="1530" w:type="dxa"/>
            <w:noWrap/>
            <w:hideMark/>
          </w:tcPr>
          <w:p w14:paraId="1FCED71B"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3</w:t>
            </w:r>
          </w:p>
        </w:tc>
        <w:tc>
          <w:tcPr>
            <w:tcW w:w="2070" w:type="dxa"/>
            <w:noWrap/>
            <w:hideMark/>
          </w:tcPr>
          <w:p w14:paraId="5D1EFB2D"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-1</w:t>
            </w:r>
          </w:p>
        </w:tc>
      </w:tr>
      <w:tr w:rsidR="008B4FBB" w:rsidRPr="00B773AA" w14:paraId="103625A4" w14:textId="77777777" w:rsidTr="005D2E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4059100A" w14:textId="77777777" w:rsidR="008B4FBB" w:rsidRPr="00B773AA" w:rsidRDefault="008B4FBB" w:rsidP="008B4FBB">
            <w:r w:rsidRPr="00B773AA">
              <w:t>Four-year</w:t>
            </w:r>
          </w:p>
        </w:tc>
        <w:tc>
          <w:tcPr>
            <w:tcW w:w="4549" w:type="dxa"/>
            <w:noWrap/>
            <w:hideMark/>
          </w:tcPr>
          <w:p w14:paraId="33C93649"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MATH 120 College Algebra</w:t>
            </w:r>
          </w:p>
        </w:tc>
        <w:tc>
          <w:tcPr>
            <w:tcW w:w="1530" w:type="dxa"/>
            <w:noWrap/>
            <w:hideMark/>
          </w:tcPr>
          <w:p w14:paraId="49346284"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3</w:t>
            </w:r>
          </w:p>
        </w:tc>
        <w:tc>
          <w:tcPr>
            <w:tcW w:w="2070" w:type="dxa"/>
            <w:noWrap/>
            <w:hideMark/>
          </w:tcPr>
          <w:p w14:paraId="79B42D2E"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-1</w:t>
            </w:r>
          </w:p>
        </w:tc>
      </w:tr>
      <w:tr w:rsidR="008B4FBB" w:rsidRPr="00B773AA" w14:paraId="78224508" w14:textId="77777777" w:rsidTr="005D2E3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4E9BC6E5" w14:textId="77777777" w:rsidR="008B4FBB" w:rsidRPr="00B773AA" w:rsidRDefault="008B4FBB" w:rsidP="008B4FBB">
            <w:r w:rsidRPr="00B773AA">
              <w:t>Four-year</w:t>
            </w:r>
          </w:p>
        </w:tc>
        <w:tc>
          <w:tcPr>
            <w:tcW w:w="4549" w:type="dxa"/>
            <w:noWrap/>
            <w:hideMark/>
          </w:tcPr>
          <w:p w14:paraId="492A295D"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MATH 112 Algebra for Calculus</w:t>
            </w:r>
          </w:p>
        </w:tc>
        <w:tc>
          <w:tcPr>
            <w:tcW w:w="1530" w:type="dxa"/>
            <w:noWrap/>
            <w:hideMark/>
          </w:tcPr>
          <w:p w14:paraId="7181BD62"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3</w:t>
            </w:r>
          </w:p>
        </w:tc>
        <w:tc>
          <w:tcPr>
            <w:tcW w:w="2070" w:type="dxa"/>
            <w:noWrap/>
            <w:hideMark/>
          </w:tcPr>
          <w:p w14:paraId="194B4853"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-1</w:t>
            </w:r>
          </w:p>
        </w:tc>
      </w:tr>
      <w:tr w:rsidR="008B4FBB" w:rsidRPr="00B773AA" w14:paraId="1963DC1E" w14:textId="77777777" w:rsidTr="005D2E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2482650F" w14:textId="77777777" w:rsidR="008B4FBB" w:rsidRPr="00B773AA" w:rsidRDefault="008B4FBB" w:rsidP="008B4FBB">
            <w:r w:rsidRPr="00B773AA">
              <w:t>Four-year</w:t>
            </w:r>
          </w:p>
        </w:tc>
        <w:tc>
          <w:tcPr>
            <w:tcW w:w="4549" w:type="dxa"/>
            <w:noWrap/>
            <w:hideMark/>
          </w:tcPr>
          <w:p w14:paraId="396BABA5"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MATH 113 Algebra for Calculus</w:t>
            </w:r>
          </w:p>
        </w:tc>
        <w:tc>
          <w:tcPr>
            <w:tcW w:w="1530" w:type="dxa"/>
            <w:noWrap/>
            <w:hideMark/>
          </w:tcPr>
          <w:p w14:paraId="72A49F72"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4</w:t>
            </w:r>
          </w:p>
        </w:tc>
        <w:tc>
          <w:tcPr>
            <w:tcW w:w="2070" w:type="dxa"/>
            <w:noWrap/>
            <w:hideMark/>
          </w:tcPr>
          <w:p w14:paraId="3085D5B2"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50605C5D" w14:textId="77777777" w:rsidTr="005D2E3D">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4B9FAEC7" w14:textId="77777777" w:rsidR="008B4FBB" w:rsidRPr="00B773AA" w:rsidRDefault="008B4FBB" w:rsidP="008B4FBB">
            <w:r w:rsidRPr="00B773AA">
              <w:t>Four-year</w:t>
            </w:r>
          </w:p>
        </w:tc>
        <w:tc>
          <w:tcPr>
            <w:tcW w:w="4549" w:type="dxa"/>
            <w:hideMark/>
          </w:tcPr>
          <w:p w14:paraId="4800EA4D"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MTH 1109 College Algebra Stretch, Part II</w:t>
            </w:r>
          </w:p>
        </w:tc>
        <w:tc>
          <w:tcPr>
            <w:tcW w:w="1530" w:type="dxa"/>
            <w:noWrap/>
            <w:hideMark/>
          </w:tcPr>
          <w:p w14:paraId="662955ED"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4</w:t>
            </w:r>
          </w:p>
        </w:tc>
        <w:tc>
          <w:tcPr>
            <w:tcW w:w="2070" w:type="dxa"/>
            <w:noWrap/>
            <w:hideMark/>
          </w:tcPr>
          <w:p w14:paraId="5AD249A6"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0</w:t>
            </w:r>
          </w:p>
        </w:tc>
      </w:tr>
      <w:tr w:rsidR="008B4FBB" w:rsidRPr="00B773AA" w14:paraId="045CFF1A" w14:textId="77777777" w:rsidTr="005D2E3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54E4C348" w14:textId="77777777" w:rsidR="008B4FBB" w:rsidRPr="00B773AA" w:rsidRDefault="008B4FBB" w:rsidP="008B4FBB">
            <w:r w:rsidRPr="00B773AA">
              <w:lastRenderedPageBreak/>
              <w:t>Four-year</w:t>
            </w:r>
          </w:p>
        </w:tc>
        <w:tc>
          <w:tcPr>
            <w:tcW w:w="4549" w:type="dxa"/>
            <w:hideMark/>
          </w:tcPr>
          <w:p w14:paraId="67248E66"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MTH 1110 College Algebra for Calculus</w:t>
            </w:r>
          </w:p>
        </w:tc>
        <w:tc>
          <w:tcPr>
            <w:tcW w:w="1530" w:type="dxa"/>
            <w:noWrap/>
            <w:hideMark/>
          </w:tcPr>
          <w:p w14:paraId="0077D8D1"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4</w:t>
            </w:r>
          </w:p>
        </w:tc>
        <w:tc>
          <w:tcPr>
            <w:tcW w:w="2070" w:type="dxa"/>
            <w:noWrap/>
            <w:hideMark/>
          </w:tcPr>
          <w:p w14:paraId="10C583C6"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78CE40C2" w14:textId="77777777" w:rsidTr="005D2E3D">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3DF603FF" w14:textId="77777777" w:rsidR="008B4FBB" w:rsidRPr="00B773AA" w:rsidRDefault="008B4FBB" w:rsidP="008B4FBB">
            <w:r w:rsidRPr="00B773AA">
              <w:t>Four-year</w:t>
            </w:r>
          </w:p>
        </w:tc>
        <w:tc>
          <w:tcPr>
            <w:tcW w:w="4549" w:type="dxa"/>
            <w:hideMark/>
          </w:tcPr>
          <w:p w14:paraId="2204217C"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MTH 1111 College Algebra for Calculus w/Laboratory</w:t>
            </w:r>
          </w:p>
        </w:tc>
        <w:tc>
          <w:tcPr>
            <w:tcW w:w="1530" w:type="dxa"/>
            <w:noWrap/>
            <w:hideMark/>
          </w:tcPr>
          <w:p w14:paraId="13854F57"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4</w:t>
            </w:r>
          </w:p>
        </w:tc>
        <w:tc>
          <w:tcPr>
            <w:tcW w:w="2070" w:type="dxa"/>
            <w:noWrap/>
            <w:hideMark/>
          </w:tcPr>
          <w:p w14:paraId="7C418668"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0</w:t>
            </w:r>
          </w:p>
        </w:tc>
      </w:tr>
      <w:tr w:rsidR="008B4FBB" w:rsidRPr="00B773AA" w14:paraId="0B44FC96" w14:textId="77777777" w:rsidTr="005D2E3D">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0" w:type="auto"/>
            <w:noWrap/>
            <w:hideMark/>
          </w:tcPr>
          <w:p w14:paraId="17293083" w14:textId="77777777" w:rsidR="008B4FBB" w:rsidRPr="00B773AA" w:rsidRDefault="008B4FBB" w:rsidP="008B4FBB">
            <w:r w:rsidRPr="00B773AA">
              <w:t>Four-year</w:t>
            </w:r>
          </w:p>
        </w:tc>
        <w:tc>
          <w:tcPr>
            <w:tcW w:w="4549" w:type="dxa"/>
            <w:hideMark/>
          </w:tcPr>
          <w:p w14:paraId="2236D6AD" w14:textId="694EF111"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MTH 1112 College Algebra for Calculus through Modeling</w:t>
            </w:r>
          </w:p>
        </w:tc>
        <w:tc>
          <w:tcPr>
            <w:tcW w:w="1530" w:type="dxa"/>
            <w:noWrap/>
            <w:hideMark/>
          </w:tcPr>
          <w:p w14:paraId="2CD67075"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4</w:t>
            </w:r>
          </w:p>
        </w:tc>
        <w:tc>
          <w:tcPr>
            <w:tcW w:w="2070" w:type="dxa"/>
            <w:noWrap/>
            <w:hideMark/>
          </w:tcPr>
          <w:p w14:paraId="39A50887"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51B3F3A9" w14:textId="77777777" w:rsidTr="005D2E3D">
        <w:trPr>
          <w:cnfStyle w:val="000000010000" w:firstRow="0" w:lastRow="0" w:firstColumn="0" w:lastColumn="0" w:oddVBand="0" w:evenVBand="0" w:oddHBand="0" w:evenHBand="1"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0" w:type="auto"/>
            <w:noWrap/>
            <w:hideMark/>
          </w:tcPr>
          <w:p w14:paraId="7B364CC1" w14:textId="77777777" w:rsidR="008B4FBB" w:rsidRPr="00B773AA" w:rsidRDefault="008B4FBB" w:rsidP="008B4FBB">
            <w:r w:rsidRPr="00B773AA">
              <w:t>Four-year</w:t>
            </w:r>
          </w:p>
        </w:tc>
        <w:tc>
          <w:tcPr>
            <w:tcW w:w="4549" w:type="dxa"/>
            <w:hideMark/>
          </w:tcPr>
          <w:p w14:paraId="6D2B7B47"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MTH 1115 College Algebra for Calculus through Modeling with Laboratory</w:t>
            </w:r>
          </w:p>
        </w:tc>
        <w:tc>
          <w:tcPr>
            <w:tcW w:w="1530" w:type="dxa"/>
            <w:noWrap/>
            <w:hideMark/>
          </w:tcPr>
          <w:p w14:paraId="382533AD"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4</w:t>
            </w:r>
          </w:p>
        </w:tc>
        <w:tc>
          <w:tcPr>
            <w:tcW w:w="2070" w:type="dxa"/>
            <w:noWrap/>
            <w:hideMark/>
          </w:tcPr>
          <w:p w14:paraId="063C4872"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0</w:t>
            </w:r>
          </w:p>
        </w:tc>
      </w:tr>
      <w:tr w:rsidR="008B4FBB" w:rsidRPr="00B773AA" w14:paraId="6F719E85" w14:textId="77777777" w:rsidTr="005D2E3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733E51D7" w14:textId="77777777" w:rsidR="008B4FBB" w:rsidRPr="00B773AA" w:rsidRDefault="008B4FBB" w:rsidP="008B4FBB">
            <w:r w:rsidRPr="00B773AA">
              <w:t>Four-year</w:t>
            </w:r>
          </w:p>
        </w:tc>
        <w:tc>
          <w:tcPr>
            <w:tcW w:w="4549" w:type="dxa"/>
            <w:hideMark/>
          </w:tcPr>
          <w:p w14:paraId="38D6A7B5"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APPM 1350 Calculus I for Engineers</w:t>
            </w:r>
          </w:p>
        </w:tc>
        <w:tc>
          <w:tcPr>
            <w:tcW w:w="1530" w:type="dxa"/>
            <w:noWrap/>
            <w:hideMark/>
          </w:tcPr>
          <w:p w14:paraId="1DEC954F"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4</w:t>
            </w:r>
          </w:p>
        </w:tc>
        <w:tc>
          <w:tcPr>
            <w:tcW w:w="2070" w:type="dxa"/>
            <w:noWrap/>
            <w:hideMark/>
          </w:tcPr>
          <w:p w14:paraId="1828C747"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24DBB98A" w14:textId="77777777" w:rsidTr="005D2E3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1B943785" w14:textId="77777777" w:rsidR="008B4FBB" w:rsidRPr="00B773AA" w:rsidRDefault="008B4FBB" w:rsidP="008B4FBB">
            <w:r w:rsidRPr="00B773AA">
              <w:t>Four-year</w:t>
            </w:r>
          </w:p>
        </w:tc>
        <w:tc>
          <w:tcPr>
            <w:tcW w:w="4549" w:type="dxa"/>
            <w:hideMark/>
          </w:tcPr>
          <w:p w14:paraId="2022A4E3"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MATH 1040 College Algebra</w:t>
            </w:r>
          </w:p>
        </w:tc>
        <w:tc>
          <w:tcPr>
            <w:tcW w:w="1530" w:type="dxa"/>
            <w:noWrap/>
            <w:hideMark/>
          </w:tcPr>
          <w:p w14:paraId="6C1C5B73"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3</w:t>
            </w:r>
          </w:p>
        </w:tc>
        <w:tc>
          <w:tcPr>
            <w:tcW w:w="2070" w:type="dxa"/>
            <w:noWrap/>
            <w:hideMark/>
          </w:tcPr>
          <w:p w14:paraId="16ED3374"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-1</w:t>
            </w:r>
          </w:p>
        </w:tc>
      </w:tr>
      <w:tr w:rsidR="008B4FBB" w:rsidRPr="00B773AA" w14:paraId="0FE56F4D" w14:textId="77777777" w:rsidTr="005D2E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1EF0D4BA" w14:textId="77777777" w:rsidR="008B4FBB" w:rsidRPr="00B773AA" w:rsidRDefault="008B4FBB" w:rsidP="008B4FBB">
            <w:r w:rsidRPr="00B773AA">
              <w:t>Four-year</w:t>
            </w:r>
          </w:p>
        </w:tc>
        <w:tc>
          <w:tcPr>
            <w:tcW w:w="4549" w:type="dxa"/>
            <w:hideMark/>
          </w:tcPr>
          <w:p w14:paraId="181DA8F5" w14:textId="1482FB09"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MATH 1110 College Algebra</w:t>
            </w:r>
          </w:p>
        </w:tc>
        <w:tc>
          <w:tcPr>
            <w:tcW w:w="1530" w:type="dxa"/>
            <w:noWrap/>
            <w:hideMark/>
          </w:tcPr>
          <w:p w14:paraId="44E77A1F"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4</w:t>
            </w:r>
          </w:p>
        </w:tc>
        <w:tc>
          <w:tcPr>
            <w:tcW w:w="2070" w:type="dxa"/>
            <w:noWrap/>
            <w:hideMark/>
          </w:tcPr>
          <w:p w14:paraId="7F44DD29"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41FCBE49" w14:textId="77777777" w:rsidTr="005D2E3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3950F1A0" w14:textId="77777777" w:rsidR="008B4FBB" w:rsidRPr="00B773AA" w:rsidRDefault="008B4FBB" w:rsidP="008B4FBB">
            <w:r w:rsidRPr="00B773AA">
              <w:t>Four-year</w:t>
            </w:r>
          </w:p>
        </w:tc>
        <w:tc>
          <w:tcPr>
            <w:tcW w:w="4549" w:type="dxa"/>
            <w:hideMark/>
          </w:tcPr>
          <w:p w14:paraId="7152575F"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MATH 124 College Algebra</w:t>
            </w:r>
          </w:p>
        </w:tc>
        <w:tc>
          <w:tcPr>
            <w:tcW w:w="1530" w:type="dxa"/>
            <w:noWrap/>
            <w:hideMark/>
          </w:tcPr>
          <w:p w14:paraId="7EEEC5F4"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4</w:t>
            </w:r>
          </w:p>
        </w:tc>
        <w:tc>
          <w:tcPr>
            <w:tcW w:w="2070" w:type="dxa"/>
            <w:noWrap/>
            <w:hideMark/>
          </w:tcPr>
          <w:p w14:paraId="292D17F4"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0</w:t>
            </w:r>
          </w:p>
        </w:tc>
      </w:tr>
      <w:tr w:rsidR="008B4FBB" w:rsidRPr="00B773AA" w14:paraId="7315326D" w14:textId="77777777" w:rsidTr="005D2E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2674B3F2" w14:textId="77777777" w:rsidR="008B4FBB" w:rsidRPr="00B773AA" w:rsidRDefault="008B4FBB" w:rsidP="008B4FBB">
            <w:r w:rsidRPr="00B773AA">
              <w:t>Four-year</w:t>
            </w:r>
          </w:p>
        </w:tc>
        <w:tc>
          <w:tcPr>
            <w:tcW w:w="4549" w:type="dxa"/>
            <w:hideMark/>
          </w:tcPr>
          <w:p w14:paraId="66281B89"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MATH 140 College Algebra</w:t>
            </w:r>
          </w:p>
        </w:tc>
        <w:tc>
          <w:tcPr>
            <w:tcW w:w="1530" w:type="dxa"/>
            <w:noWrap/>
            <w:hideMark/>
          </w:tcPr>
          <w:p w14:paraId="2BB541B2"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3</w:t>
            </w:r>
          </w:p>
        </w:tc>
        <w:tc>
          <w:tcPr>
            <w:tcW w:w="2070" w:type="dxa"/>
            <w:noWrap/>
            <w:hideMark/>
          </w:tcPr>
          <w:p w14:paraId="63A604DB"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-1</w:t>
            </w:r>
          </w:p>
        </w:tc>
      </w:tr>
    </w:tbl>
    <w:p w14:paraId="5BBF5261" w14:textId="60E4A913" w:rsidR="00DD3620" w:rsidRPr="003A2908" w:rsidRDefault="00DD3620" w:rsidP="008B4FBB">
      <w:pPr>
        <w:pStyle w:val="Heading3"/>
        <w:rPr>
          <w:b w:val="0"/>
          <w:bCs/>
        </w:rPr>
      </w:pPr>
      <w:r w:rsidRPr="003A2908">
        <w:rPr>
          <w:b w:val="0"/>
          <w:bCs/>
        </w:rPr>
        <w:t xml:space="preserve">*Institution’s course sequence is </w:t>
      </w:r>
      <w:r w:rsidR="003A2908" w:rsidRPr="003A2908">
        <w:rPr>
          <w:b w:val="0"/>
          <w:bCs/>
        </w:rPr>
        <w:t>sectioned into one credit hour for a total of four credit hours.</w:t>
      </w:r>
    </w:p>
    <w:p w14:paraId="1AD850C6" w14:textId="0B9B314F" w:rsidR="008B4FBB" w:rsidRPr="003A2908" w:rsidRDefault="008B4FBB" w:rsidP="008B4FBB">
      <w:pPr>
        <w:pStyle w:val="Heading3"/>
        <w:rPr>
          <w:lang w:val="fr-FR"/>
        </w:rPr>
      </w:pPr>
      <w:r w:rsidRPr="003A2908">
        <w:rPr>
          <w:lang w:val="fr-FR"/>
        </w:rPr>
        <w:t>Pre-</w:t>
      </w:r>
      <w:proofErr w:type="spellStart"/>
      <w:r w:rsidRPr="003A2908">
        <w:rPr>
          <w:lang w:val="fr-FR"/>
        </w:rPr>
        <w:t>Calculus</w:t>
      </w:r>
      <w:proofErr w:type="spellEnd"/>
    </w:p>
    <w:tbl>
      <w:tblPr>
        <w:tblStyle w:val="ListTable4-Accent2"/>
        <w:tblW w:w="0" w:type="auto"/>
        <w:tblLook w:val="04A0" w:firstRow="1" w:lastRow="0" w:firstColumn="1" w:lastColumn="0" w:noHBand="0" w:noVBand="1"/>
      </w:tblPr>
      <w:tblGrid>
        <w:gridCol w:w="1259"/>
        <w:gridCol w:w="4591"/>
        <w:gridCol w:w="1530"/>
        <w:gridCol w:w="2070"/>
      </w:tblGrid>
      <w:tr w:rsidR="008B4FBB" w:rsidRPr="00B773AA" w14:paraId="48FAA070" w14:textId="77777777" w:rsidTr="00E43C6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001970" w:themeFill="accent1"/>
            <w:noWrap/>
          </w:tcPr>
          <w:p w14:paraId="1E8F9231" w14:textId="77F693BC" w:rsidR="008B4FBB" w:rsidRPr="00B773AA" w:rsidRDefault="008B4FBB" w:rsidP="00E2124D">
            <w:pPr>
              <w:jc w:val="left"/>
            </w:pPr>
            <w:r w:rsidRPr="00B773AA">
              <w:rPr>
                <w:color w:val="FFFFFF" w:themeColor="background1"/>
              </w:rPr>
              <w:t>Institution</w:t>
            </w:r>
          </w:p>
        </w:tc>
        <w:tc>
          <w:tcPr>
            <w:tcW w:w="4591" w:type="dxa"/>
            <w:shd w:val="clear" w:color="auto" w:fill="001970" w:themeFill="accent1"/>
            <w:noWrap/>
          </w:tcPr>
          <w:p w14:paraId="04E81C19" w14:textId="3BAF81E2" w:rsidR="008B4FBB" w:rsidRPr="00B773AA" w:rsidRDefault="008B4FBB" w:rsidP="00E2124D">
            <w:pPr>
              <w:cnfStyle w:val="100000000000" w:firstRow="1" w:lastRow="0" w:firstColumn="0" w:lastColumn="0" w:oddVBand="0" w:evenVBand="0" w:oddHBand="0" w:evenHBand="0" w:firstRowFirstColumn="0" w:firstRowLastColumn="0" w:lastRowFirstColumn="0" w:lastRowLastColumn="0"/>
            </w:pPr>
            <w:r>
              <w:rPr>
                <w:color w:val="FFFFFF" w:themeColor="background1"/>
              </w:rPr>
              <w:t xml:space="preserve">GT Pathways </w:t>
            </w:r>
            <w:r w:rsidRPr="00B773AA">
              <w:rPr>
                <w:color w:val="FFFFFF" w:themeColor="background1"/>
              </w:rPr>
              <w:t>Course</w:t>
            </w:r>
          </w:p>
        </w:tc>
        <w:tc>
          <w:tcPr>
            <w:tcW w:w="1530" w:type="dxa"/>
            <w:shd w:val="clear" w:color="auto" w:fill="001970" w:themeFill="accent1"/>
            <w:noWrap/>
          </w:tcPr>
          <w:p w14:paraId="578AAAB2" w14:textId="7AA6EABC" w:rsidR="008B4FBB" w:rsidRPr="00B773AA" w:rsidRDefault="008B4FBB" w:rsidP="00E2124D">
            <w:pPr>
              <w:cnfStyle w:val="100000000000" w:firstRow="1" w:lastRow="0" w:firstColumn="0" w:lastColumn="0" w:oddVBand="0" w:evenVBand="0" w:oddHBand="0" w:evenHBand="0" w:firstRowFirstColumn="0" w:firstRowLastColumn="0" w:lastRowFirstColumn="0" w:lastRowLastColumn="0"/>
            </w:pPr>
            <w:r w:rsidRPr="00B773AA">
              <w:rPr>
                <w:color w:val="FFFFFF" w:themeColor="background1"/>
              </w:rPr>
              <w:t>Credit Hours</w:t>
            </w:r>
          </w:p>
        </w:tc>
        <w:tc>
          <w:tcPr>
            <w:tcW w:w="2070" w:type="dxa"/>
            <w:shd w:val="clear" w:color="auto" w:fill="001970" w:themeFill="accent1"/>
            <w:noWrap/>
          </w:tcPr>
          <w:p w14:paraId="7DC350AB" w14:textId="70881C70" w:rsidR="008B4FBB" w:rsidRPr="00B773AA" w:rsidRDefault="008B4FBB" w:rsidP="00E2124D">
            <w:pPr>
              <w:cnfStyle w:val="100000000000" w:firstRow="1" w:lastRow="0" w:firstColumn="0" w:lastColumn="0" w:oddVBand="0" w:evenVBand="0" w:oddHBand="0" w:evenHBand="0" w:firstRowFirstColumn="0" w:firstRowLastColumn="0" w:lastRowFirstColumn="0" w:lastRowLastColumn="0"/>
            </w:pPr>
            <w:r w:rsidRPr="00B773AA">
              <w:rPr>
                <w:color w:val="FFFFFF" w:themeColor="background1"/>
              </w:rPr>
              <w:t>Credit Difference</w:t>
            </w:r>
          </w:p>
        </w:tc>
      </w:tr>
      <w:tr w:rsidR="008B4FBB" w:rsidRPr="00B773AA" w14:paraId="3E1DEA65" w14:textId="77777777" w:rsidTr="00E43C6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tcPr>
          <w:p w14:paraId="5CD9D617" w14:textId="46B00D70" w:rsidR="008B4FBB" w:rsidRPr="00B773AA" w:rsidRDefault="008B4FBB" w:rsidP="00E2124D">
            <w:r w:rsidRPr="00B773AA">
              <w:t>Two-year</w:t>
            </w:r>
          </w:p>
        </w:tc>
        <w:tc>
          <w:tcPr>
            <w:tcW w:w="4591" w:type="dxa"/>
            <w:noWrap/>
          </w:tcPr>
          <w:p w14:paraId="2BF7204D" w14:textId="6B004F89"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 1440 Pre-Calculus</w:t>
            </w:r>
          </w:p>
        </w:tc>
        <w:tc>
          <w:tcPr>
            <w:tcW w:w="1530" w:type="dxa"/>
            <w:noWrap/>
          </w:tcPr>
          <w:p w14:paraId="429EEBAF" w14:textId="05F83069"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5</w:t>
            </w:r>
          </w:p>
        </w:tc>
        <w:tc>
          <w:tcPr>
            <w:tcW w:w="2070" w:type="dxa"/>
            <w:noWrap/>
          </w:tcPr>
          <w:p w14:paraId="65C47DE0" w14:textId="5024448E" w:rsidR="008B4FBB" w:rsidRPr="00B773AA" w:rsidRDefault="00E2124D" w:rsidP="00E2124D">
            <w:pPr>
              <w:cnfStyle w:val="000000100000" w:firstRow="0" w:lastRow="0" w:firstColumn="0" w:lastColumn="0" w:oddVBand="0" w:evenVBand="0" w:oddHBand="1" w:evenHBand="0" w:firstRowFirstColumn="0" w:firstRowLastColumn="0" w:lastRowFirstColumn="0" w:lastRowLastColumn="0"/>
            </w:pPr>
            <w:r>
              <w:t>0</w:t>
            </w:r>
          </w:p>
        </w:tc>
      </w:tr>
      <w:tr w:rsidR="008B4FBB" w:rsidRPr="00B773AA" w14:paraId="15E7D284" w14:textId="77777777" w:rsidTr="00E43C6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11767418" w14:textId="77777777" w:rsidR="008B4FBB" w:rsidRPr="00B773AA" w:rsidRDefault="008B4FBB" w:rsidP="00E2124D">
            <w:r w:rsidRPr="00B773AA">
              <w:t>Four-year</w:t>
            </w:r>
          </w:p>
        </w:tc>
        <w:tc>
          <w:tcPr>
            <w:tcW w:w="4591" w:type="dxa"/>
            <w:noWrap/>
            <w:hideMark/>
          </w:tcPr>
          <w:p w14:paraId="08508421"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 119 Pre-Calculus</w:t>
            </w:r>
          </w:p>
        </w:tc>
        <w:tc>
          <w:tcPr>
            <w:tcW w:w="1530" w:type="dxa"/>
            <w:noWrap/>
            <w:hideMark/>
          </w:tcPr>
          <w:p w14:paraId="13E99D70"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5</w:t>
            </w:r>
          </w:p>
        </w:tc>
        <w:tc>
          <w:tcPr>
            <w:tcW w:w="2070" w:type="dxa"/>
            <w:noWrap/>
            <w:hideMark/>
          </w:tcPr>
          <w:p w14:paraId="0449950D"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0</w:t>
            </w:r>
          </w:p>
        </w:tc>
      </w:tr>
      <w:tr w:rsidR="008B4FBB" w:rsidRPr="00B773AA" w14:paraId="5C0B439F" w14:textId="77777777" w:rsidTr="00E43C6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50761068" w14:textId="77777777" w:rsidR="008B4FBB" w:rsidRPr="00B773AA" w:rsidRDefault="008B4FBB" w:rsidP="00E2124D">
            <w:r w:rsidRPr="00B773AA">
              <w:t>Four-year</w:t>
            </w:r>
          </w:p>
        </w:tc>
        <w:tc>
          <w:tcPr>
            <w:tcW w:w="4591" w:type="dxa"/>
            <w:noWrap/>
            <w:hideMark/>
          </w:tcPr>
          <w:p w14:paraId="5C604636"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MATH 124 Pre-Calculus Math</w:t>
            </w:r>
          </w:p>
        </w:tc>
        <w:tc>
          <w:tcPr>
            <w:tcW w:w="1530" w:type="dxa"/>
            <w:noWrap/>
            <w:hideMark/>
          </w:tcPr>
          <w:p w14:paraId="74727D0D"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5</w:t>
            </w:r>
          </w:p>
        </w:tc>
        <w:tc>
          <w:tcPr>
            <w:tcW w:w="2070" w:type="dxa"/>
            <w:noWrap/>
            <w:hideMark/>
          </w:tcPr>
          <w:p w14:paraId="67344A17"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742B8AF4" w14:textId="77777777" w:rsidTr="00E43C6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FAF08DC" w14:textId="77777777" w:rsidR="008B4FBB" w:rsidRPr="00B773AA" w:rsidRDefault="008B4FBB" w:rsidP="00E2124D">
            <w:r w:rsidRPr="00B773AA">
              <w:t>Four-year</w:t>
            </w:r>
          </w:p>
        </w:tc>
        <w:tc>
          <w:tcPr>
            <w:tcW w:w="4591" w:type="dxa"/>
            <w:noWrap/>
            <w:hideMark/>
          </w:tcPr>
          <w:p w14:paraId="78F3CC91"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MATH 121 Pre-Calculus</w:t>
            </w:r>
          </w:p>
        </w:tc>
        <w:tc>
          <w:tcPr>
            <w:tcW w:w="1530" w:type="dxa"/>
            <w:noWrap/>
            <w:hideMark/>
          </w:tcPr>
          <w:p w14:paraId="3BFBBF34"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4</w:t>
            </w:r>
          </w:p>
        </w:tc>
        <w:tc>
          <w:tcPr>
            <w:tcW w:w="2070" w:type="dxa"/>
            <w:noWrap/>
            <w:hideMark/>
          </w:tcPr>
          <w:p w14:paraId="43E2F05A"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-1</w:t>
            </w:r>
          </w:p>
        </w:tc>
      </w:tr>
      <w:tr w:rsidR="008B4FBB" w:rsidRPr="00B773AA" w14:paraId="56F89C1B" w14:textId="77777777" w:rsidTr="00E43C61">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25C5BB11" w14:textId="77777777" w:rsidR="008B4FBB" w:rsidRPr="00B773AA" w:rsidRDefault="008B4FBB" w:rsidP="00E2124D">
            <w:r w:rsidRPr="00B773AA">
              <w:t>Four-year</w:t>
            </w:r>
          </w:p>
        </w:tc>
        <w:tc>
          <w:tcPr>
            <w:tcW w:w="4591" w:type="dxa"/>
            <w:hideMark/>
          </w:tcPr>
          <w:p w14:paraId="2DA6401C"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MTH 1400 Precalculus Mathematics</w:t>
            </w:r>
          </w:p>
        </w:tc>
        <w:tc>
          <w:tcPr>
            <w:tcW w:w="1530" w:type="dxa"/>
            <w:noWrap/>
            <w:hideMark/>
          </w:tcPr>
          <w:p w14:paraId="5DF65035"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4</w:t>
            </w:r>
          </w:p>
        </w:tc>
        <w:tc>
          <w:tcPr>
            <w:tcW w:w="2070" w:type="dxa"/>
            <w:noWrap/>
            <w:hideMark/>
          </w:tcPr>
          <w:p w14:paraId="4D6FD985"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-1</w:t>
            </w:r>
          </w:p>
        </w:tc>
      </w:tr>
      <w:tr w:rsidR="008B4FBB" w:rsidRPr="00B773AA" w14:paraId="74733EDB" w14:textId="77777777" w:rsidTr="00E43C61">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2C0CAED0" w14:textId="77777777" w:rsidR="008B4FBB" w:rsidRPr="00B773AA" w:rsidRDefault="008B4FBB" w:rsidP="00E2124D">
            <w:r w:rsidRPr="00B773AA">
              <w:t>Four-year</w:t>
            </w:r>
          </w:p>
        </w:tc>
        <w:tc>
          <w:tcPr>
            <w:tcW w:w="4591" w:type="dxa"/>
            <w:hideMark/>
          </w:tcPr>
          <w:p w14:paraId="7D9B2A8A"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MATH 1150 Precalculus Mathematics</w:t>
            </w:r>
          </w:p>
        </w:tc>
        <w:tc>
          <w:tcPr>
            <w:tcW w:w="1530" w:type="dxa"/>
            <w:noWrap/>
            <w:hideMark/>
          </w:tcPr>
          <w:p w14:paraId="44BBED30"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3</w:t>
            </w:r>
          </w:p>
        </w:tc>
        <w:tc>
          <w:tcPr>
            <w:tcW w:w="2070" w:type="dxa"/>
            <w:noWrap/>
            <w:hideMark/>
          </w:tcPr>
          <w:p w14:paraId="78872A6B"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-2</w:t>
            </w:r>
          </w:p>
        </w:tc>
      </w:tr>
      <w:tr w:rsidR="008B4FBB" w:rsidRPr="00B773AA" w14:paraId="055E4B4C" w14:textId="77777777" w:rsidTr="00E43C61">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0E1F19B1" w14:textId="77777777" w:rsidR="008B4FBB" w:rsidRPr="00B773AA" w:rsidRDefault="008B4FBB" w:rsidP="00E2124D">
            <w:r w:rsidRPr="00B773AA">
              <w:t>Four-year</w:t>
            </w:r>
          </w:p>
        </w:tc>
        <w:tc>
          <w:tcPr>
            <w:tcW w:w="4591" w:type="dxa"/>
            <w:hideMark/>
          </w:tcPr>
          <w:p w14:paraId="5A2959CA"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MATH 1130 Precalculus Mathematics</w:t>
            </w:r>
          </w:p>
        </w:tc>
        <w:tc>
          <w:tcPr>
            <w:tcW w:w="1530" w:type="dxa"/>
            <w:noWrap/>
            <w:hideMark/>
          </w:tcPr>
          <w:p w14:paraId="7F6686F3"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4</w:t>
            </w:r>
          </w:p>
        </w:tc>
        <w:tc>
          <w:tcPr>
            <w:tcW w:w="2070" w:type="dxa"/>
            <w:noWrap/>
            <w:hideMark/>
          </w:tcPr>
          <w:p w14:paraId="1B54200D"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-1</w:t>
            </w:r>
          </w:p>
        </w:tc>
      </w:tr>
      <w:tr w:rsidR="008B4FBB" w:rsidRPr="00B773AA" w14:paraId="19135DBB" w14:textId="77777777" w:rsidTr="00E43C6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506E727B" w14:textId="77777777" w:rsidR="008B4FBB" w:rsidRPr="00B773AA" w:rsidRDefault="008B4FBB" w:rsidP="00E2124D">
            <w:r w:rsidRPr="00B773AA">
              <w:t>Four-year</w:t>
            </w:r>
          </w:p>
        </w:tc>
        <w:tc>
          <w:tcPr>
            <w:tcW w:w="4591" w:type="dxa"/>
            <w:hideMark/>
          </w:tcPr>
          <w:p w14:paraId="382AC063"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MATH 141 Precalculus</w:t>
            </w:r>
          </w:p>
        </w:tc>
        <w:tc>
          <w:tcPr>
            <w:tcW w:w="1530" w:type="dxa"/>
            <w:noWrap/>
            <w:hideMark/>
          </w:tcPr>
          <w:p w14:paraId="5B23586D"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4</w:t>
            </w:r>
          </w:p>
        </w:tc>
        <w:tc>
          <w:tcPr>
            <w:tcW w:w="2070" w:type="dxa"/>
            <w:noWrap/>
            <w:hideMark/>
          </w:tcPr>
          <w:p w14:paraId="76042BDB"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-1</w:t>
            </w:r>
          </w:p>
        </w:tc>
      </w:tr>
    </w:tbl>
    <w:p w14:paraId="5BA4C106" w14:textId="21CB01A7" w:rsidR="008B4FBB" w:rsidRDefault="008B4FBB" w:rsidP="008B4FBB">
      <w:pPr>
        <w:pStyle w:val="Heading3"/>
      </w:pPr>
      <w:r>
        <w:t>Calculus I</w:t>
      </w:r>
    </w:p>
    <w:tbl>
      <w:tblPr>
        <w:tblStyle w:val="ListTable4-Accent2"/>
        <w:tblW w:w="0" w:type="auto"/>
        <w:tblLook w:val="04A0" w:firstRow="1" w:lastRow="0" w:firstColumn="1" w:lastColumn="0" w:noHBand="0" w:noVBand="1"/>
      </w:tblPr>
      <w:tblGrid>
        <w:gridCol w:w="1259"/>
        <w:gridCol w:w="4597"/>
        <w:gridCol w:w="1465"/>
        <w:gridCol w:w="1914"/>
      </w:tblGrid>
      <w:tr w:rsidR="008B4FBB" w:rsidRPr="00B773AA" w14:paraId="0D7616F7" w14:textId="77777777" w:rsidTr="00E43C6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001970" w:themeFill="accent1"/>
            <w:noWrap/>
            <w:hideMark/>
          </w:tcPr>
          <w:p w14:paraId="66FADC9F" w14:textId="1567F1A1" w:rsidR="008B4FBB" w:rsidRPr="00B773AA" w:rsidRDefault="008B4FBB" w:rsidP="008B4FBB">
            <w:r w:rsidRPr="00B773AA">
              <w:rPr>
                <w:color w:val="FFFFFF" w:themeColor="background1"/>
              </w:rPr>
              <w:t>Institution</w:t>
            </w:r>
          </w:p>
        </w:tc>
        <w:tc>
          <w:tcPr>
            <w:tcW w:w="0" w:type="auto"/>
            <w:shd w:val="clear" w:color="auto" w:fill="001970" w:themeFill="accent1"/>
            <w:noWrap/>
            <w:hideMark/>
          </w:tcPr>
          <w:p w14:paraId="40EE9DCC" w14:textId="3EB0B7A1" w:rsidR="008B4FBB" w:rsidRPr="00B773AA" w:rsidRDefault="008B4FBB" w:rsidP="008B4FBB">
            <w:pPr>
              <w:cnfStyle w:val="100000000000" w:firstRow="1" w:lastRow="0" w:firstColumn="0" w:lastColumn="0" w:oddVBand="0" w:evenVBand="0" w:oddHBand="0" w:evenHBand="0" w:firstRowFirstColumn="0" w:firstRowLastColumn="0" w:lastRowFirstColumn="0" w:lastRowLastColumn="0"/>
            </w:pPr>
            <w:r>
              <w:rPr>
                <w:color w:val="FFFFFF" w:themeColor="background1"/>
              </w:rPr>
              <w:t xml:space="preserve">GT Pathways </w:t>
            </w:r>
            <w:r w:rsidRPr="00B773AA">
              <w:rPr>
                <w:color w:val="FFFFFF" w:themeColor="background1"/>
              </w:rPr>
              <w:t>Course</w:t>
            </w:r>
          </w:p>
        </w:tc>
        <w:tc>
          <w:tcPr>
            <w:tcW w:w="0" w:type="auto"/>
            <w:shd w:val="clear" w:color="auto" w:fill="001970" w:themeFill="accent1"/>
            <w:noWrap/>
            <w:hideMark/>
          </w:tcPr>
          <w:p w14:paraId="1D287361" w14:textId="2CAF9477" w:rsidR="008B4FBB" w:rsidRPr="00B773AA" w:rsidRDefault="008B4FBB" w:rsidP="008B4FBB">
            <w:pPr>
              <w:jc w:val="left"/>
              <w:cnfStyle w:val="100000000000" w:firstRow="1" w:lastRow="0" w:firstColumn="0" w:lastColumn="0" w:oddVBand="0" w:evenVBand="0" w:oddHBand="0" w:evenHBand="0" w:firstRowFirstColumn="0" w:firstRowLastColumn="0" w:lastRowFirstColumn="0" w:lastRowLastColumn="0"/>
            </w:pPr>
            <w:r w:rsidRPr="00B773AA">
              <w:rPr>
                <w:color w:val="FFFFFF" w:themeColor="background1"/>
              </w:rPr>
              <w:t>Credit Hours</w:t>
            </w:r>
          </w:p>
        </w:tc>
        <w:tc>
          <w:tcPr>
            <w:tcW w:w="0" w:type="auto"/>
            <w:shd w:val="clear" w:color="auto" w:fill="001970" w:themeFill="accent1"/>
            <w:noWrap/>
            <w:hideMark/>
          </w:tcPr>
          <w:p w14:paraId="33DF02AB" w14:textId="20C21F97" w:rsidR="008B4FBB" w:rsidRPr="00B773AA" w:rsidRDefault="008B4FBB" w:rsidP="008B4FBB">
            <w:pPr>
              <w:jc w:val="left"/>
              <w:cnfStyle w:val="100000000000" w:firstRow="1" w:lastRow="0" w:firstColumn="0" w:lastColumn="0" w:oddVBand="0" w:evenVBand="0" w:oddHBand="0" w:evenHBand="0" w:firstRowFirstColumn="0" w:firstRowLastColumn="0" w:lastRowFirstColumn="0" w:lastRowLastColumn="0"/>
            </w:pPr>
            <w:r w:rsidRPr="00B773AA">
              <w:rPr>
                <w:color w:val="FFFFFF" w:themeColor="background1"/>
              </w:rPr>
              <w:t>Credit Difference</w:t>
            </w:r>
          </w:p>
        </w:tc>
      </w:tr>
      <w:tr w:rsidR="008B4FBB" w:rsidRPr="00B773AA" w14:paraId="7D057F7E" w14:textId="77777777" w:rsidTr="00E43C61">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0A17E357" w14:textId="77777777" w:rsidR="008B4FBB" w:rsidRPr="00B773AA" w:rsidRDefault="008B4FBB" w:rsidP="008B4FBB">
            <w:r w:rsidRPr="00B773AA">
              <w:t>Four-year</w:t>
            </w:r>
          </w:p>
        </w:tc>
        <w:tc>
          <w:tcPr>
            <w:tcW w:w="0" w:type="auto"/>
            <w:hideMark/>
          </w:tcPr>
          <w:p w14:paraId="517930EF"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 120 Single Variable Calculus I</w:t>
            </w:r>
          </w:p>
        </w:tc>
        <w:tc>
          <w:tcPr>
            <w:tcW w:w="0" w:type="auto"/>
            <w:noWrap/>
            <w:hideMark/>
          </w:tcPr>
          <w:p w14:paraId="315720BC"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5</w:t>
            </w:r>
          </w:p>
        </w:tc>
        <w:tc>
          <w:tcPr>
            <w:tcW w:w="0" w:type="auto"/>
            <w:noWrap/>
            <w:hideMark/>
          </w:tcPr>
          <w:p w14:paraId="768F92F4"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1C3E0C26" w14:textId="77777777" w:rsidTr="00E43C6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27555E32" w14:textId="77777777" w:rsidR="008B4FBB" w:rsidRPr="00B773AA" w:rsidRDefault="008B4FBB" w:rsidP="008B4FBB">
            <w:r w:rsidRPr="00B773AA">
              <w:lastRenderedPageBreak/>
              <w:t>Four-year</w:t>
            </w:r>
          </w:p>
        </w:tc>
        <w:tc>
          <w:tcPr>
            <w:tcW w:w="0" w:type="auto"/>
            <w:noWrap/>
            <w:hideMark/>
          </w:tcPr>
          <w:p w14:paraId="110B5B77"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 151 Calculus I</w:t>
            </w:r>
          </w:p>
        </w:tc>
        <w:tc>
          <w:tcPr>
            <w:tcW w:w="0" w:type="auto"/>
            <w:noWrap/>
            <w:hideMark/>
          </w:tcPr>
          <w:p w14:paraId="7BC099A7"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5</w:t>
            </w:r>
          </w:p>
        </w:tc>
        <w:tc>
          <w:tcPr>
            <w:tcW w:w="0" w:type="auto"/>
            <w:noWrap/>
            <w:hideMark/>
          </w:tcPr>
          <w:p w14:paraId="26D38911"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0</w:t>
            </w:r>
          </w:p>
        </w:tc>
      </w:tr>
      <w:tr w:rsidR="008B4FBB" w:rsidRPr="00B773AA" w14:paraId="64873BFF" w14:textId="77777777" w:rsidTr="00E43C61">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1B0FDC10" w14:textId="77777777" w:rsidR="008B4FBB" w:rsidRPr="00B773AA" w:rsidRDefault="008B4FBB" w:rsidP="008B4FBB">
            <w:r w:rsidRPr="00B773AA">
              <w:t>Four-year</w:t>
            </w:r>
          </w:p>
        </w:tc>
        <w:tc>
          <w:tcPr>
            <w:tcW w:w="0" w:type="auto"/>
            <w:hideMark/>
          </w:tcPr>
          <w:p w14:paraId="4A7A1F23"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 xml:space="preserve">MATH 160 Calculus </w:t>
            </w:r>
            <w:proofErr w:type="gramStart"/>
            <w:r w:rsidRPr="00B773AA">
              <w:t>For</w:t>
            </w:r>
            <w:proofErr w:type="gramEnd"/>
            <w:r w:rsidRPr="00B773AA">
              <w:t xml:space="preserve"> Physical Scientists I</w:t>
            </w:r>
          </w:p>
        </w:tc>
        <w:tc>
          <w:tcPr>
            <w:tcW w:w="0" w:type="auto"/>
            <w:noWrap/>
            <w:hideMark/>
          </w:tcPr>
          <w:p w14:paraId="4A096CF0"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4</w:t>
            </w:r>
          </w:p>
        </w:tc>
        <w:tc>
          <w:tcPr>
            <w:tcW w:w="0" w:type="auto"/>
            <w:noWrap/>
            <w:hideMark/>
          </w:tcPr>
          <w:p w14:paraId="66A50A41"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-1</w:t>
            </w:r>
          </w:p>
        </w:tc>
      </w:tr>
      <w:tr w:rsidR="008B4FBB" w:rsidRPr="00B773AA" w14:paraId="7DBB69D2" w14:textId="77777777" w:rsidTr="00E43C61">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60515D3C" w14:textId="77777777" w:rsidR="008B4FBB" w:rsidRPr="00B773AA" w:rsidRDefault="008B4FBB" w:rsidP="008B4FBB">
            <w:r w:rsidRPr="00B773AA">
              <w:t>Four-year</w:t>
            </w:r>
          </w:p>
        </w:tc>
        <w:tc>
          <w:tcPr>
            <w:tcW w:w="0" w:type="auto"/>
            <w:hideMark/>
          </w:tcPr>
          <w:p w14:paraId="2C72A1C3"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MATH 126 Calculus and Analytic Geometry I</w:t>
            </w:r>
          </w:p>
        </w:tc>
        <w:tc>
          <w:tcPr>
            <w:tcW w:w="0" w:type="auto"/>
            <w:noWrap/>
            <w:hideMark/>
          </w:tcPr>
          <w:p w14:paraId="44B47CF2"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5</w:t>
            </w:r>
          </w:p>
        </w:tc>
        <w:tc>
          <w:tcPr>
            <w:tcW w:w="0" w:type="auto"/>
            <w:noWrap/>
            <w:hideMark/>
          </w:tcPr>
          <w:p w14:paraId="5B2A3837"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0</w:t>
            </w:r>
          </w:p>
        </w:tc>
      </w:tr>
      <w:tr w:rsidR="008B4FBB" w:rsidRPr="00B773AA" w14:paraId="46947248" w14:textId="77777777" w:rsidTr="00E43C6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13A4BA8" w14:textId="77777777" w:rsidR="008B4FBB" w:rsidRPr="00B773AA" w:rsidRDefault="008B4FBB" w:rsidP="008B4FBB">
            <w:r w:rsidRPr="00B773AA">
              <w:t>Four-year</w:t>
            </w:r>
          </w:p>
        </w:tc>
        <w:tc>
          <w:tcPr>
            <w:tcW w:w="0" w:type="auto"/>
            <w:hideMark/>
          </w:tcPr>
          <w:p w14:paraId="34752A39"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MATH 221 Calculus I</w:t>
            </w:r>
          </w:p>
        </w:tc>
        <w:tc>
          <w:tcPr>
            <w:tcW w:w="0" w:type="auto"/>
            <w:noWrap/>
            <w:hideMark/>
          </w:tcPr>
          <w:p w14:paraId="0DE19D69"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4</w:t>
            </w:r>
          </w:p>
        </w:tc>
        <w:tc>
          <w:tcPr>
            <w:tcW w:w="0" w:type="auto"/>
            <w:noWrap/>
            <w:hideMark/>
          </w:tcPr>
          <w:p w14:paraId="236075D0"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-1</w:t>
            </w:r>
          </w:p>
        </w:tc>
      </w:tr>
      <w:tr w:rsidR="008B4FBB" w:rsidRPr="00B773AA" w14:paraId="0A76E33A" w14:textId="77777777" w:rsidTr="00E43C6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8AB0F11" w14:textId="77777777" w:rsidR="008B4FBB" w:rsidRPr="00B773AA" w:rsidRDefault="008B4FBB" w:rsidP="008B4FBB">
            <w:r w:rsidRPr="00B773AA">
              <w:t>Four-year</w:t>
            </w:r>
          </w:p>
        </w:tc>
        <w:tc>
          <w:tcPr>
            <w:tcW w:w="0" w:type="auto"/>
            <w:hideMark/>
          </w:tcPr>
          <w:p w14:paraId="256DC53C"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MTH 1410 Calculus I</w:t>
            </w:r>
          </w:p>
        </w:tc>
        <w:tc>
          <w:tcPr>
            <w:tcW w:w="0" w:type="auto"/>
            <w:noWrap/>
            <w:hideMark/>
          </w:tcPr>
          <w:p w14:paraId="7F346243"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4</w:t>
            </w:r>
          </w:p>
        </w:tc>
        <w:tc>
          <w:tcPr>
            <w:tcW w:w="0" w:type="auto"/>
            <w:noWrap/>
            <w:hideMark/>
          </w:tcPr>
          <w:p w14:paraId="17AAB1E2"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-1</w:t>
            </w:r>
          </w:p>
        </w:tc>
      </w:tr>
      <w:tr w:rsidR="008B4FBB" w:rsidRPr="00B773AA" w14:paraId="04BE620F" w14:textId="77777777" w:rsidTr="00E43C6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8F6384B" w14:textId="77777777" w:rsidR="008B4FBB" w:rsidRPr="00B773AA" w:rsidRDefault="008B4FBB" w:rsidP="008B4FBB">
            <w:r w:rsidRPr="00B773AA">
              <w:t>Four-year</w:t>
            </w:r>
          </w:p>
        </w:tc>
        <w:tc>
          <w:tcPr>
            <w:tcW w:w="0" w:type="auto"/>
            <w:hideMark/>
          </w:tcPr>
          <w:p w14:paraId="18DAA111"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MATH 1300 Calculus I</w:t>
            </w:r>
          </w:p>
        </w:tc>
        <w:tc>
          <w:tcPr>
            <w:tcW w:w="0" w:type="auto"/>
            <w:noWrap/>
            <w:hideMark/>
          </w:tcPr>
          <w:p w14:paraId="1661BA8E"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5</w:t>
            </w:r>
          </w:p>
        </w:tc>
        <w:tc>
          <w:tcPr>
            <w:tcW w:w="0" w:type="auto"/>
            <w:noWrap/>
            <w:hideMark/>
          </w:tcPr>
          <w:p w14:paraId="3E3EA7F6"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1D952F1D" w14:textId="77777777" w:rsidTr="00E43C61">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0FCEF5B6" w14:textId="77777777" w:rsidR="008B4FBB" w:rsidRPr="00B773AA" w:rsidRDefault="008B4FBB" w:rsidP="008B4FBB">
            <w:r w:rsidRPr="00B773AA">
              <w:t>Four-year</w:t>
            </w:r>
          </w:p>
        </w:tc>
        <w:tc>
          <w:tcPr>
            <w:tcW w:w="0" w:type="auto"/>
            <w:hideMark/>
          </w:tcPr>
          <w:p w14:paraId="11B4EE3C"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MATH 1310 Calculus, Systems, and Modeling</w:t>
            </w:r>
          </w:p>
        </w:tc>
        <w:tc>
          <w:tcPr>
            <w:tcW w:w="0" w:type="auto"/>
            <w:noWrap/>
            <w:hideMark/>
          </w:tcPr>
          <w:p w14:paraId="6524203A"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5</w:t>
            </w:r>
          </w:p>
        </w:tc>
        <w:tc>
          <w:tcPr>
            <w:tcW w:w="0" w:type="auto"/>
            <w:noWrap/>
            <w:hideMark/>
          </w:tcPr>
          <w:p w14:paraId="35F54642"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0</w:t>
            </w:r>
          </w:p>
        </w:tc>
      </w:tr>
      <w:tr w:rsidR="008B4FBB" w:rsidRPr="00B773AA" w14:paraId="2BB9C06B" w14:textId="77777777" w:rsidTr="00E43C6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6B567429" w14:textId="77777777" w:rsidR="008B4FBB" w:rsidRPr="00B773AA" w:rsidRDefault="008B4FBB" w:rsidP="008B4FBB">
            <w:r w:rsidRPr="00B773AA">
              <w:t>Four-year</w:t>
            </w:r>
          </w:p>
        </w:tc>
        <w:tc>
          <w:tcPr>
            <w:tcW w:w="0" w:type="auto"/>
            <w:hideMark/>
          </w:tcPr>
          <w:p w14:paraId="6EB327AD"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MATH 1401 Calculus I</w:t>
            </w:r>
          </w:p>
        </w:tc>
        <w:tc>
          <w:tcPr>
            <w:tcW w:w="0" w:type="auto"/>
            <w:noWrap/>
            <w:hideMark/>
          </w:tcPr>
          <w:p w14:paraId="6A060F82"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4</w:t>
            </w:r>
          </w:p>
        </w:tc>
        <w:tc>
          <w:tcPr>
            <w:tcW w:w="0" w:type="auto"/>
            <w:noWrap/>
            <w:hideMark/>
          </w:tcPr>
          <w:p w14:paraId="058DCB37"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-1</w:t>
            </w:r>
          </w:p>
        </w:tc>
      </w:tr>
      <w:tr w:rsidR="008B4FBB" w:rsidRPr="00B773AA" w14:paraId="0FAA7E56" w14:textId="77777777" w:rsidTr="00E43C6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2C79472" w14:textId="77777777" w:rsidR="008B4FBB" w:rsidRPr="00B773AA" w:rsidRDefault="008B4FBB" w:rsidP="008B4FBB">
            <w:r w:rsidRPr="00B773AA">
              <w:t>Four-year</w:t>
            </w:r>
          </w:p>
        </w:tc>
        <w:tc>
          <w:tcPr>
            <w:tcW w:w="0" w:type="auto"/>
            <w:hideMark/>
          </w:tcPr>
          <w:p w14:paraId="6D96D112"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MATH 131 Calculus I</w:t>
            </w:r>
          </w:p>
        </w:tc>
        <w:tc>
          <w:tcPr>
            <w:tcW w:w="0" w:type="auto"/>
            <w:noWrap/>
            <w:hideMark/>
          </w:tcPr>
          <w:p w14:paraId="4DDFA2E3"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4</w:t>
            </w:r>
          </w:p>
        </w:tc>
        <w:tc>
          <w:tcPr>
            <w:tcW w:w="0" w:type="auto"/>
            <w:noWrap/>
            <w:hideMark/>
          </w:tcPr>
          <w:p w14:paraId="1778C857"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-1</w:t>
            </w:r>
          </w:p>
        </w:tc>
      </w:tr>
      <w:tr w:rsidR="008B4FBB" w:rsidRPr="00B773AA" w14:paraId="5A18553D" w14:textId="77777777" w:rsidTr="00E43C6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6D9AD083" w14:textId="77777777" w:rsidR="008B4FBB" w:rsidRPr="00B773AA" w:rsidRDefault="008B4FBB" w:rsidP="008B4FBB">
            <w:r w:rsidRPr="00B773AA">
              <w:t>Four-year</w:t>
            </w:r>
          </w:p>
        </w:tc>
        <w:tc>
          <w:tcPr>
            <w:tcW w:w="0" w:type="auto"/>
            <w:hideMark/>
          </w:tcPr>
          <w:p w14:paraId="673E3157"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MATH 151 Calculus I</w:t>
            </w:r>
          </w:p>
        </w:tc>
        <w:tc>
          <w:tcPr>
            <w:tcW w:w="0" w:type="auto"/>
            <w:noWrap/>
            <w:hideMark/>
          </w:tcPr>
          <w:p w14:paraId="57F7CB45"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4</w:t>
            </w:r>
          </w:p>
        </w:tc>
        <w:tc>
          <w:tcPr>
            <w:tcW w:w="0" w:type="auto"/>
            <w:noWrap/>
            <w:hideMark/>
          </w:tcPr>
          <w:p w14:paraId="583DE8C9"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-1</w:t>
            </w:r>
          </w:p>
        </w:tc>
      </w:tr>
    </w:tbl>
    <w:p w14:paraId="3453E3AE" w14:textId="77777777" w:rsidR="00B773AA" w:rsidRDefault="00B773AA" w:rsidP="00B773AA"/>
    <w:p w14:paraId="15B45356" w14:textId="0A147397" w:rsidR="002639FF" w:rsidRDefault="002639FF" w:rsidP="00213A08">
      <w:pPr>
        <w:pStyle w:val="Heading2"/>
      </w:pPr>
      <w:r>
        <w:t xml:space="preserve">Appendix D: </w:t>
      </w:r>
      <w:r>
        <w:t>Statewide Professional Development for Transfer Student Success</w:t>
      </w:r>
    </w:p>
    <w:p w14:paraId="41EDD1B9" w14:textId="77777777" w:rsidR="002639FF" w:rsidRPr="006F1B89" w:rsidRDefault="002639FF" w:rsidP="00213A08">
      <w:pPr>
        <w:pStyle w:val="Subtitle"/>
        <w:rPr>
          <w:color w:val="001253" w:themeColor="accent1" w:themeShade="BF"/>
        </w:rPr>
      </w:pPr>
      <w:r w:rsidRPr="006F1B89">
        <w:rPr>
          <w:color w:val="001253" w:themeColor="accent1" w:themeShade="BF"/>
        </w:rPr>
        <w:t>Expanded Brief for SB 24-164 Report &amp; Fiscal Note</w:t>
      </w:r>
    </w:p>
    <w:p w14:paraId="5B938AFC" w14:textId="77777777" w:rsidR="002639FF" w:rsidRDefault="002639FF" w:rsidP="00213A08">
      <w:pPr>
        <w:pStyle w:val="Heading3"/>
      </w:pPr>
      <w:r>
        <w:t>Executive Summary</w:t>
      </w:r>
    </w:p>
    <w:p w14:paraId="4647CB26" w14:textId="77777777" w:rsidR="002639FF" w:rsidRPr="00E57261" w:rsidRDefault="002639FF" w:rsidP="002639FF">
      <w:r w:rsidRPr="00E57261">
        <w:t xml:space="preserve">The Colorado Department of Higher Education (CDHE) surveyed 221 stakeholders across community colleges and four-year institutions to assess interest, needs, and preferences for professional development (PD) focused on transfer student success. Findings demonstrate strong demand for statewide PD opportunities, with 68% rating PD as Very Important or Essential. Respondents identified critical topics, preferred delivery formats, and institutional </w:t>
      </w:r>
      <w:proofErr w:type="gramStart"/>
      <w:r w:rsidRPr="00E57261">
        <w:t>supports</w:t>
      </w:r>
      <w:proofErr w:type="gramEnd"/>
      <w:r w:rsidRPr="00E57261">
        <w:t xml:space="preserve"> necessary to ensure participation.</w:t>
      </w:r>
    </w:p>
    <w:p w14:paraId="4B495655" w14:textId="77777777" w:rsidR="002639FF" w:rsidRDefault="002639FF" w:rsidP="00213A08">
      <w:pPr>
        <w:pStyle w:val="Heading3"/>
      </w:pPr>
      <w:r>
        <w:t>Key Findings</w:t>
      </w:r>
    </w:p>
    <w:p w14:paraId="5781D970" w14:textId="77777777" w:rsidR="002639FF" w:rsidRPr="00E57261" w:rsidRDefault="002639FF" w:rsidP="002639FF">
      <w:pPr>
        <w:pStyle w:val="ListBullet"/>
        <w:numPr>
          <w:ilvl w:val="0"/>
          <w:numId w:val="19"/>
        </w:numPr>
        <w:rPr>
          <w:sz w:val="24"/>
          <w:szCs w:val="24"/>
        </w:rPr>
      </w:pPr>
      <w:r w:rsidRPr="00E57261">
        <w:rPr>
          <w:b/>
          <w:bCs/>
          <w:sz w:val="24"/>
          <w:szCs w:val="24"/>
        </w:rPr>
        <w:t>68% of respondents</w:t>
      </w:r>
      <w:r w:rsidRPr="00E57261">
        <w:rPr>
          <w:sz w:val="24"/>
          <w:szCs w:val="24"/>
        </w:rPr>
        <w:t xml:space="preserve"> rated professional development as Very Important or Essential for transfer student success.</w:t>
      </w:r>
    </w:p>
    <w:p w14:paraId="2B7F805F" w14:textId="77777777" w:rsidR="002639FF" w:rsidRPr="00E57261" w:rsidRDefault="002639FF" w:rsidP="002639FF">
      <w:pPr>
        <w:pStyle w:val="ListBullet"/>
        <w:tabs>
          <w:tab w:val="num" w:pos="360"/>
        </w:tabs>
        <w:ind w:left="360" w:hanging="360"/>
        <w:rPr>
          <w:sz w:val="24"/>
          <w:szCs w:val="24"/>
        </w:rPr>
      </w:pPr>
      <w:r w:rsidRPr="00E57261">
        <w:rPr>
          <w:b/>
          <w:bCs/>
          <w:sz w:val="24"/>
          <w:szCs w:val="24"/>
        </w:rPr>
        <w:t>Top PD topics</w:t>
      </w:r>
      <w:r w:rsidRPr="00E57261">
        <w:rPr>
          <w:sz w:val="24"/>
          <w:szCs w:val="24"/>
        </w:rPr>
        <w:t xml:space="preserve">: resolving transfer barriers, equity-focused advising, advising practices, statewide agreements, data tools, and </w:t>
      </w:r>
      <w:r>
        <w:rPr>
          <w:sz w:val="24"/>
          <w:szCs w:val="24"/>
        </w:rPr>
        <w:t>Credit for Prior Learning (</w:t>
      </w:r>
      <w:r w:rsidRPr="00E57261">
        <w:rPr>
          <w:sz w:val="24"/>
          <w:szCs w:val="24"/>
        </w:rPr>
        <w:t>CPL</w:t>
      </w:r>
      <w:r>
        <w:rPr>
          <w:sz w:val="24"/>
          <w:szCs w:val="24"/>
        </w:rPr>
        <w:t>)</w:t>
      </w:r>
      <w:r w:rsidRPr="00E57261">
        <w:rPr>
          <w:sz w:val="24"/>
          <w:szCs w:val="24"/>
        </w:rPr>
        <w:t>.</w:t>
      </w:r>
    </w:p>
    <w:p w14:paraId="556C7874" w14:textId="77777777" w:rsidR="002639FF" w:rsidRPr="00E57261" w:rsidRDefault="002639FF" w:rsidP="002639FF">
      <w:pPr>
        <w:pStyle w:val="ListBullet"/>
        <w:tabs>
          <w:tab w:val="num" w:pos="360"/>
        </w:tabs>
        <w:ind w:left="360" w:hanging="360"/>
        <w:rPr>
          <w:sz w:val="24"/>
          <w:szCs w:val="24"/>
        </w:rPr>
      </w:pPr>
      <w:r w:rsidRPr="00E57261">
        <w:rPr>
          <w:b/>
          <w:bCs/>
          <w:sz w:val="24"/>
          <w:szCs w:val="24"/>
        </w:rPr>
        <w:t>Preferred formats</w:t>
      </w:r>
      <w:r w:rsidRPr="00E57261">
        <w:rPr>
          <w:sz w:val="24"/>
          <w:szCs w:val="24"/>
        </w:rPr>
        <w:t>: virtual live workshops (76%), self-paced modules (58%), regional in-person workshops (48%).</w:t>
      </w:r>
    </w:p>
    <w:p w14:paraId="3D55DFF8" w14:textId="77777777" w:rsidR="002639FF" w:rsidRPr="00E57261" w:rsidRDefault="002639FF" w:rsidP="002639FF">
      <w:pPr>
        <w:pStyle w:val="ListBullet"/>
        <w:tabs>
          <w:tab w:val="num" w:pos="360"/>
        </w:tabs>
        <w:ind w:left="360" w:hanging="360"/>
        <w:rPr>
          <w:sz w:val="24"/>
          <w:szCs w:val="24"/>
        </w:rPr>
      </w:pPr>
      <w:r w:rsidRPr="00E57261">
        <w:rPr>
          <w:b/>
          <w:bCs/>
          <w:sz w:val="24"/>
          <w:szCs w:val="24"/>
        </w:rPr>
        <w:t>Participation frequency</w:t>
      </w:r>
      <w:r w:rsidRPr="00E57261">
        <w:rPr>
          <w:sz w:val="24"/>
          <w:szCs w:val="24"/>
        </w:rPr>
        <w:t>: most prefer as-needed or 1–2 times per year.</w:t>
      </w:r>
    </w:p>
    <w:p w14:paraId="227E012A" w14:textId="77777777" w:rsidR="002639FF" w:rsidRPr="00E57261" w:rsidRDefault="002639FF" w:rsidP="002639FF">
      <w:pPr>
        <w:pStyle w:val="ListBullet"/>
        <w:tabs>
          <w:tab w:val="num" w:pos="360"/>
        </w:tabs>
        <w:ind w:left="360" w:hanging="360"/>
        <w:rPr>
          <w:sz w:val="24"/>
          <w:szCs w:val="24"/>
        </w:rPr>
      </w:pPr>
      <w:r w:rsidRPr="00E57261">
        <w:rPr>
          <w:b/>
          <w:bCs/>
          <w:sz w:val="24"/>
          <w:szCs w:val="24"/>
        </w:rPr>
        <w:t>Institutional support needed</w:t>
      </w:r>
      <w:r w:rsidRPr="00E57261">
        <w:rPr>
          <w:sz w:val="24"/>
          <w:szCs w:val="24"/>
        </w:rPr>
        <w:t>: travel funding, release time, access to recordings.</w:t>
      </w:r>
    </w:p>
    <w:p w14:paraId="56FF7A74" w14:textId="77777777" w:rsidR="002639FF" w:rsidRDefault="002639FF" w:rsidP="00213A08">
      <w:pPr>
        <w:pStyle w:val="Heading3"/>
      </w:pPr>
      <w:r>
        <w:t>Recommendation from the General Education Council to CCHE</w:t>
      </w:r>
    </w:p>
    <w:p w14:paraId="220997F2" w14:textId="77777777" w:rsidR="002639FF" w:rsidRDefault="002639FF" w:rsidP="002639FF">
      <w:r w:rsidRPr="006F1B89">
        <w:t xml:space="preserve">Establish a Statewide Transfer Professional Development Program that </w:t>
      </w:r>
      <w:r>
        <w:t>accomplishes the following goals</w:t>
      </w:r>
      <w:r w:rsidRPr="006F1B89">
        <w:t>:</w:t>
      </w:r>
    </w:p>
    <w:p w14:paraId="6516F6A7" w14:textId="77777777" w:rsidR="002639FF" w:rsidRPr="009049D2" w:rsidRDefault="002639FF" w:rsidP="002639FF">
      <w:pPr>
        <w:pStyle w:val="ListParagraph"/>
        <w:numPr>
          <w:ilvl w:val="0"/>
          <w:numId w:val="32"/>
        </w:numPr>
        <w:spacing w:after="200" w:line="276" w:lineRule="auto"/>
      </w:pPr>
      <w:r w:rsidRPr="009049D2">
        <w:lastRenderedPageBreak/>
        <w:t>Prioritize top-interest topics for statewide PD strands and align delivery with preferred formats (e.g., virtual live, self-paced modules).</w:t>
      </w:r>
    </w:p>
    <w:p w14:paraId="3D015968" w14:textId="77777777" w:rsidR="002639FF" w:rsidRPr="009049D2" w:rsidRDefault="002639FF" w:rsidP="002639FF">
      <w:pPr>
        <w:pStyle w:val="ListParagraph"/>
        <w:numPr>
          <w:ilvl w:val="0"/>
          <w:numId w:val="32"/>
        </w:numPr>
        <w:spacing w:after="200" w:line="276" w:lineRule="auto"/>
      </w:pPr>
      <w:r w:rsidRPr="009049D2">
        <w:t>Address participation barriers by budgeting for the most-cited supports (e.g., release time, travel, access to recordings).</w:t>
      </w:r>
    </w:p>
    <w:p w14:paraId="77CFC478" w14:textId="77777777" w:rsidR="002639FF" w:rsidRPr="009049D2" w:rsidRDefault="002639FF" w:rsidP="002639FF">
      <w:pPr>
        <w:pStyle w:val="ListParagraph"/>
        <w:numPr>
          <w:ilvl w:val="0"/>
          <w:numId w:val="32"/>
        </w:numPr>
        <w:spacing w:after="200" w:line="276" w:lineRule="auto"/>
      </w:pPr>
      <w:r w:rsidRPr="009049D2">
        <w:t>Align offerings with common PD/CE requirements, offering certificates/badges that document hours to support recertification where applicable.</w:t>
      </w:r>
    </w:p>
    <w:p w14:paraId="78B119B0" w14:textId="77777777" w:rsidR="002639FF" w:rsidRPr="009049D2" w:rsidRDefault="002639FF" w:rsidP="002639FF">
      <w:pPr>
        <w:pStyle w:val="ListParagraph"/>
        <w:numPr>
          <w:ilvl w:val="0"/>
          <w:numId w:val="32"/>
        </w:numPr>
        <w:spacing w:after="200" w:line="276" w:lineRule="auto"/>
      </w:pPr>
      <w:r w:rsidRPr="009049D2">
        <w:t>Consider a tiered mini-grants program sized around the median meaningful campus funding level, with equity considerations for smaller or rural institutions.</w:t>
      </w:r>
    </w:p>
    <w:p w14:paraId="3D337CEF" w14:textId="77777777" w:rsidR="002639FF" w:rsidRPr="009049D2" w:rsidRDefault="002639FF" w:rsidP="002639FF">
      <w:pPr>
        <w:pStyle w:val="ListParagraph"/>
        <w:numPr>
          <w:ilvl w:val="0"/>
          <w:numId w:val="32"/>
        </w:numPr>
        <w:spacing w:after="200" w:line="276" w:lineRule="auto"/>
      </w:pPr>
      <w:r w:rsidRPr="009049D2">
        <w:t xml:space="preserve">Establish a community of </w:t>
      </w:r>
      <w:proofErr w:type="gramStart"/>
      <w:r w:rsidRPr="009049D2">
        <w:t>practice</w:t>
      </w:r>
      <w:proofErr w:type="gramEnd"/>
      <w:r w:rsidRPr="009049D2">
        <w:t xml:space="preserve"> to sustain peer learning and cross-institutional consistency on transfer practices, articulation, and gtPathways.</w:t>
      </w:r>
    </w:p>
    <w:p w14:paraId="7B4CAA5F" w14:textId="77777777" w:rsidR="002639FF" w:rsidRDefault="002639FF" w:rsidP="00213A08">
      <w:pPr>
        <w:pStyle w:val="Heading3"/>
      </w:pPr>
      <w:r>
        <w:t>Rationale of Recommendations</w:t>
      </w:r>
    </w:p>
    <w:p w14:paraId="4730FEA4" w14:textId="77777777" w:rsidR="002639FF" w:rsidRPr="006F1B89" w:rsidRDefault="002639FF" w:rsidP="002639FF">
      <w:r w:rsidRPr="006F1B89">
        <w:t>Survey responses highlight systemic challenges: inconsistent advising practices, outdated technology, and lack of time and funding for staff to engage in PD. A statewide program will ensure consistent messaging, equity-focused advising, and improved transfer pathways across institutions.</w:t>
      </w:r>
    </w:p>
    <w:p w14:paraId="3DA5A46F" w14:textId="77777777" w:rsidR="002639FF" w:rsidRDefault="002639FF" w:rsidP="00213A08">
      <w:pPr>
        <w:pStyle w:val="Heading3"/>
      </w:pPr>
      <w:r>
        <w:t>Estimated Fiscal Impact (Year 1)</w:t>
      </w:r>
    </w:p>
    <w:p w14:paraId="16A1FB69" w14:textId="77777777" w:rsidR="002639FF" w:rsidRPr="006F1B89" w:rsidRDefault="002639FF" w:rsidP="002639FF">
      <w:r w:rsidRPr="006F1B89">
        <w:t>The following estimates reflect costs to launch and sustain the program in its first year:</w:t>
      </w:r>
    </w:p>
    <w:tbl>
      <w:tblPr>
        <w:tblStyle w:val="TableGrid"/>
        <w:tblW w:w="0" w:type="auto"/>
        <w:jc w:val="center"/>
        <w:tblLook w:val="04A0" w:firstRow="1" w:lastRow="0" w:firstColumn="1" w:lastColumn="0" w:noHBand="0" w:noVBand="1"/>
      </w:tblPr>
      <w:tblGrid>
        <w:gridCol w:w="2335"/>
        <w:gridCol w:w="3294"/>
        <w:gridCol w:w="3001"/>
      </w:tblGrid>
      <w:tr w:rsidR="002639FF" w:rsidRPr="006F1B89" w14:paraId="2D5B5DC7" w14:textId="77777777" w:rsidTr="001C1398">
        <w:trPr>
          <w:jc w:val="center"/>
        </w:trPr>
        <w:tc>
          <w:tcPr>
            <w:tcW w:w="2335" w:type="dxa"/>
          </w:tcPr>
          <w:p w14:paraId="5F36B0C0" w14:textId="77777777" w:rsidR="002639FF" w:rsidRPr="006F1B89" w:rsidRDefault="002639FF" w:rsidP="001C1398">
            <w:pPr>
              <w:jc w:val="center"/>
            </w:pPr>
            <w:r w:rsidRPr="006F1B89">
              <w:rPr>
                <w:b/>
              </w:rPr>
              <w:t>Item</w:t>
            </w:r>
          </w:p>
        </w:tc>
        <w:tc>
          <w:tcPr>
            <w:tcW w:w="3294" w:type="dxa"/>
          </w:tcPr>
          <w:p w14:paraId="5027AC23" w14:textId="77777777" w:rsidR="002639FF" w:rsidRPr="006F1B89" w:rsidRDefault="002639FF" w:rsidP="001C1398">
            <w:pPr>
              <w:jc w:val="center"/>
              <w:rPr>
                <w:b/>
              </w:rPr>
            </w:pPr>
            <w:r>
              <w:rPr>
                <w:b/>
              </w:rPr>
              <w:t>Subcategories</w:t>
            </w:r>
          </w:p>
        </w:tc>
        <w:tc>
          <w:tcPr>
            <w:tcW w:w="3001" w:type="dxa"/>
          </w:tcPr>
          <w:p w14:paraId="1D039442" w14:textId="77777777" w:rsidR="002639FF" w:rsidRPr="006F1B89" w:rsidRDefault="002639FF" w:rsidP="001C1398">
            <w:pPr>
              <w:jc w:val="center"/>
            </w:pPr>
            <w:r w:rsidRPr="006F1B89">
              <w:rPr>
                <w:b/>
              </w:rPr>
              <w:t>Estimated Cost</w:t>
            </w:r>
          </w:p>
        </w:tc>
      </w:tr>
      <w:tr w:rsidR="002639FF" w:rsidRPr="006F1B89" w14:paraId="3FAFB8D7" w14:textId="77777777" w:rsidTr="001C1398">
        <w:trPr>
          <w:jc w:val="center"/>
        </w:trPr>
        <w:tc>
          <w:tcPr>
            <w:tcW w:w="2335" w:type="dxa"/>
          </w:tcPr>
          <w:p w14:paraId="25295ECE" w14:textId="77777777" w:rsidR="002639FF" w:rsidRPr="009049D2" w:rsidRDefault="002639FF" w:rsidP="001C1398">
            <w:pPr>
              <w:jc w:val="center"/>
              <w:rPr>
                <w:b/>
                <w:bCs/>
              </w:rPr>
            </w:pPr>
            <w:r w:rsidRPr="009049D2">
              <w:rPr>
                <w:b/>
                <w:bCs/>
              </w:rPr>
              <w:t>Virtual &amp; Regional PD Delivery</w:t>
            </w:r>
          </w:p>
        </w:tc>
        <w:tc>
          <w:tcPr>
            <w:tcW w:w="3294" w:type="dxa"/>
          </w:tcPr>
          <w:p w14:paraId="3F26D190" w14:textId="77777777" w:rsidR="002639FF" w:rsidRPr="006F1B89" w:rsidRDefault="002639FF" w:rsidP="001C1398">
            <w:pPr>
              <w:jc w:val="center"/>
            </w:pPr>
            <w:r>
              <w:t>Regional facilitators, venue rentals, catering, speaker fees</w:t>
            </w:r>
          </w:p>
        </w:tc>
        <w:tc>
          <w:tcPr>
            <w:tcW w:w="3001" w:type="dxa"/>
          </w:tcPr>
          <w:p w14:paraId="4F425B27" w14:textId="77777777" w:rsidR="002639FF" w:rsidRPr="006F1B89" w:rsidRDefault="002639FF" w:rsidP="001C1398">
            <w:pPr>
              <w:jc w:val="center"/>
            </w:pPr>
            <w:r w:rsidRPr="006F1B89">
              <w:t>$150,000</w:t>
            </w:r>
          </w:p>
        </w:tc>
      </w:tr>
      <w:tr w:rsidR="002639FF" w:rsidRPr="006F1B89" w14:paraId="543CFC1C" w14:textId="77777777" w:rsidTr="001C1398">
        <w:trPr>
          <w:jc w:val="center"/>
        </w:trPr>
        <w:tc>
          <w:tcPr>
            <w:tcW w:w="2335" w:type="dxa"/>
          </w:tcPr>
          <w:p w14:paraId="5352E97E" w14:textId="77777777" w:rsidR="002639FF" w:rsidRPr="009049D2" w:rsidRDefault="002639FF" w:rsidP="001C1398">
            <w:pPr>
              <w:jc w:val="center"/>
              <w:rPr>
                <w:b/>
                <w:bCs/>
              </w:rPr>
            </w:pPr>
            <w:r w:rsidRPr="009049D2">
              <w:rPr>
                <w:b/>
                <w:bCs/>
              </w:rPr>
              <w:t>Micro-grants for Institutional Support</w:t>
            </w:r>
          </w:p>
        </w:tc>
        <w:tc>
          <w:tcPr>
            <w:tcW w:w="3294" w:type="dxa"/>
          </w:tcPr>
          <w:p w14:paraId="2ED47B5D" w14:textId="77777777" w:rsidR="002639FF" w:rsidRPr="006F1B89" w:rsidRDefault="002639FF" w:rsidP="001C1398">
            <w:pPr>
              <w:jc w:val="center"/>
            </w:pPr>
            <w:r>
              <w:t>Release time, travel stipends, access to PD materials</w:t>
            </w:r>
          </w:p>
        </w:tc>
        <w:tc>
          <w:tcPr>
            <w:tcW w:w="3001" w:type="dxa"/>
          </w:tcPr>
          <w:p w14:paraId="288D6A8A" w14:textId="77777777" w:rsidR="002639FF" w:rsidRPr="006F1B89" w:rsidRDefault="002639FF" w:rsidP="001C1398">
            <w:pPr>
              <w:jc w:val="center"/>
            </w:pPr>
            <w:r w:rsidRPr="006F1B89">
              <w:t>$250,000</w:t>
            </w:r>
          </w:p>
        </w:tc>
      </w:tr>
      <w:tr w:rsidR="002639FF" w:rsidRPr="006F1B89" w14:paraId="3E90FEB8" w14:textId="77777777" w:rsidTr="001C1398">
        <w:trPr>
          <w:jc w:val="center"/>
        </w:trPr>
        <w:tc>
          <w:tcPr>
            <w:tcW w:w="2335" w:type="dxa"/>
          </w:tcPr>
          <w:p w14:paraId="42A09F0E" w14:textId="77777777" w:rsidR="002639FF" w:rsidRPr="009049D2" w:rsidRDefault="002639FF" w:rsidP="001C1398">
            <w:pPr>
              <w:jc w:val="center"/>
              <w:rPr>
                <w:b/>
                <w:bCs/>
              </w:rPr>
            </w:pPr>
            <w:r w:rsidRPr="009049D2">
              <w:rPr>
                <w:b/>
                <w:bCs/>
              </w:rPr>
              <w:t>Technology &amp; Data Tools Development</w:t>
            </w:r>
          </w:p>
        </w:tc>
        <w:tc>
          <w:tcPr>
            <w:tcW w:w="3294" w:type="dxa"/>
          </w:tcPr>
          <w:p w14:paraId="2702B09B" w14:textId="77777777" w:rsidR="002639FF" w:rsidRPr="006F1B89" w:rsidRDefault="002639FF" w:rsidP="001C1398">
            <w:pPr>
              <w:jc w:val="center"/>
            </w:pPr>
            <w:r>
              <w:t>LMS setup, course creation, webinars, advising tools, data reporting enhancements</w:t>
            </w:r>
          </w:p>
        </w:tc>
        <w:tc>
          <w:tcPr>
            <w:tcW w:w="3001" w:type="dxa"/>
          </w:tcPr>
          <w:p w14:paraId="2D3DFFF4" w14:textId="77777777" w:rsidR="002639FF" w:rsidRPr="006F1B89" w:rsidRDefault="002639FF" w:rsidP="001C1398">
            <w:pPr>
              <w:jc w:val="center"/>
            </w:pPr>
            <w:r w:rsidRPr="006F1B89">
              <w:t>$200,000</w:t>
            </w:r>
          </w:p>
        </w:tc>
      </w:tr>
      <w:tr w:rsidR="002639FF" w:rsidRPr="006F1B89" w14:paraId="6C47116C" w14:textId="77777777" w:rsidTr="001C1398">
        <w:trPr>
          <w:jc w:val="center"/>
        </w:trPr>
        <w:tc>
          <w:tcPr>
            <w:tcW w:w="2335" w:type="dxa"/>
          </w:tcPr>
          <w:p w14:paraId="5B88B2D5" w14:textId="77777777" w:rsidR="002639FF" w:rsidRPr="009049D2" w:rsidRDefault="002639FF" w:rsidP="001C1398">
            <w:pPr>
              <w:jc w:val="center"/>
              <w:rPr>
                <w:b/>
                <w:bCs/>
              </w:rPr>
            </w:pPr>
            <w:r w:rsidRPr="009049D2">
              <w:rPr>
                <w:b/>
                <w:bCs/>
              </w:rPr>
              <w:t>Program Coordination &amp; Evaluation</w:t>
            </w:r>
          </w:p>
        </w:tc>
        <w:tc>
          <w:tcPr>
            <w:tcW w:w="3294" w:type="dxa"/>
          </w:tcPr>
          <w:p w14:paraId="264174FD" w14:textId="77777777" w:rsidR="002639FF" w:rsidRPr="006F1B89" w:rsidRDefault="002639FF" w:rsidP="001C1398">
            <w:pPr>
              <w:jc w:val="center"/>
            </w:pPr>
            <w:r>
              <w:t>Program coordinator, assessment tools, reporting of outcomes</w:t>
            </w:r>
          </w:p>
        </w:tc>
        <w:tc>
          <w:tcPr>
            <w:tcW w:w="3001" w:type="dxa"/>
          </w:tcPr>
          <w:p w14:paraId="3831DF0F" w14:textId="77777777" w:rsidR="002639FF" w:rsidRPr="006F1B89" w:rsidRDefault="002639FF" w:rsidP="001C1398">
            <w:pPr>
              <w:jc w:val="center"/>
            </w:pPr>
            <w:r w:rsidRPr="006F1B89">
              <w:t>$100,000</w:t>
            </w:r>
          </w:p>
        </w:tc>
      </w:tr>
      <w:tr w:rsidR="002639FF" w:rsidRPr="006F1B89" w14:paraId="6E337A71" w14:textId="77777777" w:rsidTr="001C1398">
        <w:trPr>
          <w:jc w:val="center"/>
        </w:trPr>
        <w:tc>
          <w:tcPr>
            <w:tcW w:w="2335" w:type="dxa"/>
          </w:tcPr>
          <w:p w14:paraId="7D74474E" w14:textId="77777777" w:rsidR="002639FF" w:rsidRPr="006F1B89" w:rsidRDefault="002639FF" w:rsidP="001C1398">
            <w:pPr>
              <w:jc w:val="center"/>
            </w:pPr>
            <w:r w:rsidRPr="006F1B89">
              <w:t>Total</w:t>
            </w:r>
          </w:p>
        </w:tc>
        <w:tc>
          <w:tcPr>
            <w:tcW w:w="3294" w:type="dxa"/>
          </w:tcPr>
          <w:p w14:paraId="70E06AE7" w14:textId="77777777" w:rsidR="002639FF" w:rsidRPr="006F1B89" w:rsidRDefault="002639FF" w:rsidP="001C1398">
            <w:pPr>
              <w:jc w:val="center"/>
            </w:pPr>
          </w:p>
        </w:tc>
        <w:tc>
          <w:tcPr>
            <w:tcW w:w="3001" w:type="dxa"/>
          </w:tcPr>
          <w:p w14:paraId="6C720B96" w14:textId="77777777" w:rsidR="002639FF" w:rsidRPr="006F1B89" w:rsidRDefault="002639FF" w:rsidP="001C1398">
            <w:pPr>
              <w:jc w:val="center"/>
            </w:pPr>
            <w:r w:rsidRPr="006F1B89">
              <w:t>$700,000</w:t>
            </w:r>
          </w:p>
        </w:tc>
      </w:tr>
    </w:tbl>
    <w:p w14:paraId="47ED321E" w14:textId="77777777" w:rsidR="002639FF" w:rsidRDefault="002639FF" w:rsidP="002639FF">
      <w:pPr>
        <w:rPr>
          <w:b/>
          <w:bCs/>
        </w:rPr>
      </w:pPr>
    </w:p>
    <w:p w14:paraId="71A8867B" w14:textId="77777777" w:rsidR="002639FF" w:rsidRPr="00B729C2" w:rsidRDefault="002639FF" w:rsidP="00213A08">
      <w:pPr>
        <w:pStyle w:val="Heading4"/>
      </w:pPr>
      <w:r w:rsidRPr="00B729C2">
        <w:t>Strategic Justification:</w:t>
      </w:r>
    </w:p>
    <w:p w14:paraId="693C17DD" w14:textId="77777777" w:rsidR="002639FF" w:rsidRPr="009049D2" w:rsidRDefault="002639FF" w:rsidP="002639FF">
      <w:pPr>
        <w:numPr>
          <w:ilvl w:val="0"/>
          <w:numId w:val="33"/>
        </w:numPr>
        <w:spacing w:after="200" w:line="276" w:lineRule="auto"/>
      </w:pPr>
      <w:r w:rsidRPr="009049D2">
        <w:rPr>
          <w:b/>
          <w:bCs/>
        </w:rPr>
        <w:t>Virtual &amp; Regional PD Delivery</w:t>
      </w:r>
      <w:r w:rsidRPr="009049D2">
        <w:t>: Supports preferred formats (76% virtual live, 48% regional workshops) and addresses logistical needs for in-person engagement.</w:t>
      </w:r>
    </w:p>
    <w:p w14:paraId="416C6ACD" w14:textId="77777777" w:rsidR="002639FF" w:rsidRPr="009049D2" w:rsidRDefault="002639FF" w:rsidP="002639FF">
      <w:pPr>
        <w:numPr>
          <w:ilvl w:val="0"/>
          <w:numId w:val="33"/>
        </w:numPr>
        <w:spacing w:after="200" w:line="276" w:lineRule="auto"/>
      </w:pPr>
      <w:r w:rsidRPr="009049D2">
        <w:rPr>
          <w:b/>
          <w:bCs/>
        </w:rPr>
        <w:lastRenderedPageBreak/>
        <w:t>Micro-grants</w:t>
      </w:r>
      <w:r w:rsidRPr="009049D2">
        <w:t>: Directly responds to top barriers (release time, travel funding, access to recordings) and ensures equitable participation across institutions.</w:t>
      </w:r>
    </w:p>
    <w:p w14:paraId="774A1B6D" w14:textId="77777777" w:rsidR="002639FF" w:rsidRPr="009049D2" w:rsidRDefault="002639FF" w:rsidP="002639FF">
      <w:pPr>
        <w:numPr>
          <w:ilvl w:val="0"/>
          <w:numId w:val="33"/>
        </w:numPr>
        <w:spacing w:after="200" w:line="276" w:lineRule="auto"/>
      </w:pPr>
      <w:r w:rsidRPr="009049D2">
        <w:rPr>
          <w:b/>
          <w:bCs/>
        </w:rPr>
        <w:t>Technology &amp; Data Tools</w:t>
      </w:r>
      <w:r w:rsidRPr="009049D2">
        <w:t>: Addresses systemic challenges such as outdated systems and transfer tracking, enabling consistent advising practices.</w:t>
      </w:r>
    </w:p>
    <w:p w14:paraId="710B2672" w14:textId="77777777" w:rsidR="002639FF" w:rsidRPr="009049D2" w:rsidRDefault="002639FF" w:rsidP="002639FF">
      <w:pPr>
        <w:numPr>
          <w:ilvl w:val="0"/>
          <w:numId w:val="33"/>
        </w:numPr>
        <w:spacing w:after="200" w:line="276" w:lineRule="auto"/>
      </w:pPr>
      <w:r w:rsidRPr="009049D2">
        <w:rPr>
          <w:b/>
          <w:bCs/>
        </w:rPr>
        <w:t>Coordination &amp; Evaluation</w:t>
      </w:r>
      <w:r w:rsidRPr="009049D2">
        <w:t>: Ensures program sustainability, quality control, and alignment with statewide goals.</w:t>
      </w:r>
    </w:p>
    <w:p w14:paraId="53CEDB60" w14:textId="77777777" w:rsidR="002639FF" w:rsidRPr="00B729C2" w:rsidRDefault="002639FF" w:rsidP="00213A08">
      <w:pPr>
        <w:pStyle w:val="Heading4"/>
      </w:pPr>
      <w:r w:rsidRPr="00B729C2">
        <w:t>Optional Additions:</w:t>
      </w:r>
    </w:p>
    <w:p w14:paraId="41C2C45F" w14:textId="77777777" w:rsidR="002639FF" w:rsidRPr="009049D2" w:rsidRDefault="002639FF" w:rsidP="002639FF">
      <w:pPr>
        <w:numPr>
          <w:ilvl w:val="0"/>
          <w:numId w:val="34"/>
        </w:numPr>
        <w:spacing w:after="200" w:line="276" w:lineRule="auto"/>
      </w:pPr>
      <w:r w:rsidRPr="009049D2">
        <w:rPr>
          <w:b/>
          <w:bCs/>
        </w:rPr>
        <w:t>Tiered Grant Structure</w:t>
      </w:r>
      <w:r w:rsidRPr="009049D2">
        <w:t>: Consider allocating micro-grants based on institution size and rural designation to promote equity.</w:t>
      </w:r>
    </w:p>
    <w:p w14:paraId="67F449D3" w14:textId="77777777" w:rsidR="002639FF" w:rsidRPr="009049D2" w:rsidRDefault="002639FF" w:rsidP="002639FF">
      <w:pPr>
        <w:numPr>
          <w:ilvl w:val="0"/>
          <w:numId w:val="34"/>
        </w:numPr>
        <w:spacing w:after="200" w:line="276" w:lineRule="auto"/>
      </w:pPr>
      <w:r w:rsidRPr="009049D2">
        <w:rPr>
          <w:b/>
          <w:bCs/>
        </w:rPr>
        <w:t>PD Certification</w:t>
      </w:r>
      <w:r w:rsidRPr="009049D2">
        <w:t>: Include funding for credentialing (e.g., badges, CEUs) to support professional growth and recertification.</w:t>
      </w:r>
    </w:p>
    <w:p w14:paraId="21C11146" w14:textId="77777777" w:rsidR="002639FF" w:rsidRDefault="002639FF" w:rsidP="00213A08">
      <w:pPr>
        <w:pStyle w:val="Heading3"/>
      </w:pPr>
      <w:r>
        <w:t>CDHE Survey Results Summary</w:t>
      </w:r>
    </w:p>
    <w:p w14:paraId="06C07A4F" w14:textId="77777777" w:rsidR="002639FF" w:rsidRPr="00B729C2" w:rsidRDefault="002639FF" w:rsidP="00213A08">
      <w:pPr>
        <w:pStyle w:val="Heading4"/>
      </w:pPr>
      <w:r w:rsidRPr="00B729C2">
        <w:t>Respondent Overview</w:t>
      </w:r>
    </w:p>
    <w:p w14:paraId="2120CDF1" w14:textId="77777777" w:rsidR="002639FF" w:rsidRPr="007A668B" w:rsidRDefault="002639FF" w:rsidP="002639FF">
      <w:pPr>
        <w:numPr>
          <w:ilvl w:val="0"/>
          <w:numId w:val="20"/>
        </w:numPr>
        <w:spacing w:after="200" w:line="276" w:lineRule="auto"/>
      </w:pPr>
      <w:r w:rsidRPr="007A668B">
        <w:rPr>
          <w:b/>
          <w:bCs/>
        </w:rPr>
        <w:t>Total Responses</w:t>
      </w:r>
      <w:r w:rsidRPr="007A668B">
        <w:t>: 221</w:t>
      </w:r>
    </w:p>
    <w:p w14:paraId="02895498" w14:textId="77777777" w:rsidR="002639FF" w:rsidRPr="007A668B" w:rsidRDefault="002639FF" w:rsidP="002639FF">
      <w:pPr>
        <w:numPr>
          <w:ilvl w:val="0"/>
          <w:numId w:val="20"/>
        </w:numPr>
        <w:spacing w:after="200" w:line="276" w:lineRule="auto"/>
      </w:pPr>
      <w:r w:rsidRPr="007A668B">
        <w:rPr>
          <w:b/>
          <w:bCs/>
        </w:rPr>
        <w:t>Average Completion Time</w:t>
      </w:r>
      <w:r w:rsidRPr="007A668B">
        <w:t>: ~42 minutes</w:t>
      </w:r>
    </w:p>
    <w:p w14:paraId="697F0DFA" w14:textId="77777777" w:rsidR="002639FF" w:rsidRPr="007A668B" w:rsidRDefault="002639FF" w:rsidP="002639FF">
      <w:pPr>
        <w:numPr>
          <w:ilvl w:val="0"/>
          <w:numId w:val="20"/>
        </w:numPr>
        <w:spacing w:after="200" w:line="276" w:lineRule="auto"/>
      </w:pPr>
      <w:r w:rsidRPr="007A668B">
        <w:rPr>
          <w:b/>
          <w:bCs/>
        </w:rPr>
        <w:t>Duration of Survey</w:t>
      </w:r>
      <w:r w:rsidRPr="007A668B">
        <w:t>: 59 days</w:t>
      </w:r>
    </w:p>
    <w:p w14:paraId="4A4829F5" w14:textId="77777777" w:rsidR="002639FF" w:rsidRPr="007A668B" w:rsidRDefault="002639FF" w:rsidP="002639FF">
      <w:pPr>
        <w:numPr>
          <w:ilvl w:val="0"/>
          <w:numId w:val="20"/>
        </w:numPr>
        <w:spacing w:after="200" w:line="276" w:lineRule="auto"/>
      </w:pPr>
      <w:r w:rsidRPr="007A668B">
        <w:rPr>
          <w:b/>
          <w:bCs/>
        </w:rPr>
        <w:t>Roles Represented</w:t>
      </w:r>
      <w:r w:rsidRPr="007A668B">
        <w:t xml:space="preserve">: </w:t>
      </w:r>
    </w:p>
    <w:p w14:paraId="4D7E6954" w14:textId="77777777" w:rsidR="002639FF" w:rsidRPr="007A668B" w:rsidRDefault="002639FF" w:rsidP="002639FF">
      <w:pPr>
        <w:numPr>
          <w:ilvl w:val="1"/>
          <w:numId w:val="20"/>
        </w:numPr>
        <w:spacing w:after="200" w:line="276" w:lineRule="auto"/>
      </w:pPr>
      <w:r w:rsidRPr="007A668B">
        <w:t>Faculty (discipline-specific): 106</w:t>
      </w:r>
    </w:p>
    <w:p w14:paraId="059BA6BE" w14:textId="77777777" w:rsidR="002639FF" w:rsidRPr="007A668B" w:rsidRDefault="002639FF" w:rsidP="002639FF">
      <w:pPr>
        <w:numPr>
          <w:ilvl w:val="1"/>
          <w:numId w:val="20"/>
        </w:numPr>
        <w:spacing w:after="200" w:line="276" w:lineRule="auto"/>
      </w:pPr>
      <w:r w:rsidRPr="007A668B">
        <w:t>Faculty (general education): 51</w:t>
      </w:r>
    </w:p>
    <w:p w14:paraId="3F5877BA" w14:textId="77777777" w:rsidR="002639FF" w:rsidRPr="007A668B" w:rsidRDefault="002639FF" w:rsidP="002639FF">
      <w:pPr>
        <w:numPr>
          <w:ilvl w:val="1"/>
          <w:numId w:val="20"/>
        </w:numPr>
        <w:spacing w:after="200" w:line="276" w:lineRule="auto"/>
      </w:pPr>
      <w:r w:rsidRPr="007A668B">
        <w:t>Academic advisors: 47</w:t>
      </w:r>
    </w:p>
    <w:p w14:paraId="3FF5F6F5" w14:textId="77777777" w:rsidR="002639FF" w:rsidRPr="007A668B" w:rsidRDefault="002639FF" w:rsidP="002639FF">
      <w:pPr>
        <w:numPr>
          <w:ilvl w:val="1"/>
          <w:numId w:val="20"/>
        </w:numPr>
        <w:spacing w:after="200" w:line="276" w:lineRule="auto"/>
      </w:pPr>
      <w:r w:rsidRPr="007A668B">
        <w:t>Admissions, registrars, and student support staff also represented</w:t>
      </w:r>
    </w:p>
    <w:p w14:paraId="5A0FED6B" w14:textId="77777777" w:rsidR="002639FF" w:rsidRPr="00B729C2" w:rsidRDefault="002639FF" w:rsidP="00213A08">
      <w:pPr>
        <w:pStyle w:val="Heading4"/>
      </w:pPr>
      <w:r w:rsidRPr="00B729C2">
        <w:t>Experience &amp; Institutions</w:t>
      </w:r>
    </w:p>
    <w:p w14:paraId="30140899" w14:textId="77777777" w:rsidR="002639FF" w:rsidRPr="007A668B" w:rsidRDefault="002639FF" w:rsidP="002639FF">
      <w:pPr>
        <w:numPr>
          <w:ilvl w:val="0"/>
          <w:numId w:val="21"/>
        </w:numPr>
        <w:spacing w:after="200" w:line="276" w:lineRule="auto"/>
      </w:pPr>
      <w:r w:rsidRPr="007A668B">
        <w:rPr>
          <w:b/>
          <w:bCs/>
        </w:rPr>
        <w:t>Years in Higher Ed</w:t>
      </w:r>
      <w:r w:rsidRPr="007A668B">
        <w:t xml:space="preserve">: </w:t>
      </w:r>
    </w:p>
    <w:p w14:paraId="0B9AB08C" w14:textId="77777777" w:rsidR="002639FF" w:rsidRPr="007A668B" w:rsidRDefault="002639FF" w:rsidP="002639FF">
      <w:pPr>
        <w:numPr>
          <w:ilvl w:val="1"/>
          <w:numId w:val="21"/>
        </w:numPr>
        <w:spacing w:after="200" w:line="276" w:lineRule="auto"/>
      </w:pPr>
      <w:r w:rsidRPr="007A668B">
        <w:t>Most have 11–20 years (68) or 20+ years (80)</w:t>
      </w:r>
    </w:p>
    <w:p w14:paraId="4873B1F7" w14:textId="77777777" w:rsidR="002639FF" w:rsidRPr="007A668B" w:rsidRDefault="002639FF" w:rsidP="002639FF">
      <w:pPr>
        <w:numPr>
          <w:ilvl w:val="0"/>
          <w:numId w:val="21"/>
        </w:numPr>
        <w:spacing w:after="200" w:line="276" w:lineRule="auto"/>
      </w:pPr>
      <w:r w:rsidRPr="007A668B">
        <w:rPr>
          <w:b/>
          <w:bCs/>
        </w:rPr>
        <w:t>Institutions Served</w:t>
      </w:r>
      <w:r w:rsidRPr="007A668B">
        <w:t xml:space="preserve">: </w:t>
      </w:r>
    </w:p>
    <w:p w14:paraId="197F3909" w14:textId="77777777" w:rsidR="002639FF" w:rsidRPr="007A668B" w:rsidRDefault="002639FF" w:rsidP="002639FF">
      <w:pPr>
        <w:numPr>
          <w:ilvl w:val="1"/>
          <w:numId w:val="21"/>
        </w:numPr>
        <w:spacing w:after="200" w:line="276" w:lineRule="auto"/>
      </w:pPr>
      <w:r w:rsidRPr="007A668B">
        <w:t>Regional 4-year universities: 135</w:t>
      </w:r>
    </w:p>
    <w:p w14:paraId="40BBBBC0" w14:textId="77777777" w:rsidR="002639FF" w:rsidRPr="007A668B" w:rsidRDefault="002639FF" w:rsidP="002639FF">
      <w:pPr>
        <w:numPr>
          <w:ilvl w:val="1"/>
          <w:numId w:val="21"/>
        </w:numPr>
        <w:spacing w:after="200" w:line="276" w:lineRule="auto"/>
      </w:pPr>
      <w:r w:rsidRPr="007A668B">
        <w:t>Community colleges: 67</w:t>
      </w:r>
    </w:p>
    <w:p w14:paraId="7D1E9867" w14:textId="77777777" w:rsidR="002639FF" w:rsidRPr="007A668B" w:rsidRDefault="002639FF" w:rsidP="002639FF">
      <w:pPr>
        <w:numPr>
          <w:ilvl w:val="1"/>
          <w:numId w:val="21"/>
        </w:numPr>
        <w:spacing w:after="200" w:line="276" w:lineRule="auto"/>
      </w:pPr>
      <w:r w:rsidRPr="007A668B">
        <w:t>Research/flagship universities: 36</w:t>
      </w:r>
    </w:p>
    <w:p w14:paraId="19C99797" w14:textId="77777777" w:rsidR="002639FF" w:rsidRPr="00B729C2" w:rsidRDefault="002639FF" w:rsidP="00213A08">
      <w:pPr>
        <w:pStyle w:val="Heading4"/>
      </w:pPr>
      <w:r w:rsidRPr="00B729C2">
        <w:lastRenderedPageBreak/>
        <w:t>Professional Development Importance</w:t>
      </w:r>
    </w:p>
    <w:p w14:paraId="65C92C2F" w14:textId="77777777" w:rsidR="002639FF" w:rsidRPr="007A668B" w:rsidRDefault="002639FF" w:rsidP="002639FF">
      <w:pPr>
        <w:numPr>
          <w:ilvl w:val="0"/>
          <w:numId w:val="22"/>
        </w:numPr>
        <w:spacing w:after="200" w:line="276" w:lineRule="auto"/>
      </w:pPr>
      <w:r w:rsidRPr="007A668B">
        <w:rPr>
          <w:b/>
          <w:bCs/>
        </w:rPr>
        <w:t xml:space="preserve">Importance </w:t>
      </w:r>
      <w:proofErr w:type="gramStart"/>
      <w:r w:rsidRPr="007A668B">
        <w:rPr>
          <w:b/>
          <w:bCs/>
        </w:rPr>
        <w:t>for</w:t>
      </w:r>
      <w:proofErr w:type="gramEnd"/>
      <w:r w:rsidRPr="007A668B">
        <w:rPr>
          <w:b/>
          <w:bCs/>
        </w:rPr>
        <w:t xml:space="preserve"> Transfer Success</w:t>
      </w:r>
      <w:r w:rsidRPr="007A668B">
        <w:t xml:space="preserve">: </w:t>
      </w:r>
    </w:p>
    <w:p w14:paraId="71B0E6FB" w14:textId="77777777" w:rsidR="002639FF" w:rsidRPr="007A668B" w:rsidRDefault="002639FF" w:rsidP="002639FF">
      <w:pPr>
        <w:numPr>
          <w:ilvl w:val="1"/>
          <w:numId w:val="22"/>
        </w:numPr>
        <w:spacing w:after="200" w:line="276" w:lineRule="auto"/>
      </w:pPr>
      <w:r w:rsidRPr="007A668B">
        <w:t>93 rated it “Very Important”</w:t>
      </w:r>
    </w:p>
    <w:p w14:paraId="2A9A1835" w14:textId="77777777" w:rsidR="002639FF" w:rsidRPr="007A668B" w:rsidRDefault="002639FF" w:rsidP="002639FF">
      <w:pPr>
        <w:numPr>
          <w:ilvl w:val="1"/>
          <w:numId w:val="22"/>
        </w:numPr>
        <w:spacing w:after="200" w:line="276" w:lineRule="auto"/>
      </w:pPr>
      <w:r w:rsidRPr="007A668B">
        <w:t>58 rated it “Essential”</w:t>
      </w:r>
    </w:p>
    <w:p w14:paraId="749F67D1" w14:textId="77777777" w:rsidR="002639FF" w:rsidRPr="00B729C2" w:rsidRDefault="002639FF" w:rsidP="00213A08">
      <w:pPr>
        <w:pStyle w:val="Heading4"/>
      </w:pPr>
      <w:r w:rsidRPr="00B729C2">
        <w:t>Top Professional Development Interests</w:t>
      </w:r>
    </w:p>
    <w:p w14:paraId="225EB078" w14:textId="77777777" w:rsidR="002639FF" w:rsidRPr="007A668B" w:rsidRDefault="002639FF" w:rsidP="002639FF">
      <w:r w:rsidRPr="007A668B">
        <w:t>Respondents showed strong interest in:</w:t>
      </w:r>
    </w:p>
    <w:p w14:paraId="25A4A2AB" w14:textId="77777777" w:rsidR="002639FF" w:rsidRPr="007A668B" w:rsidRDefault="002639FF" w:rsidP="002639FF">
      <w:pPr>
        <w:numPr>
          <w:ilvl w:val="0"/>
          <w:numId w:val="23"/>
        </w:numPr>
        <w:spacing w:after="200" w:line="276" w:lineRule="auto"/>
      </w:pPr>
      <w:r w:rsidRPr="007A668B">
        <w:t>Supporting associate degree completion before transfer</w:t>
      </w:r>
    </w:p>
    <w:p w14:paraId="38014101" w14:textId="77777777" w:rsidR="002639FF" w:rsidRPr="007A668B" w:rsidRDefault="002639FF" w:rsidP="002639FF">
      <w:pPr>
        <w:numPr>
          <w:ilvl w:val="0"/>
          <w:numId w:val="23"/>
        </w:numPr>
        <w:spacing w:after="200" w:line="276" w:lineRule="auto"/>
      </w:pPr>
      <w:r w:rsidRPr="007A668B">
        <w:t>Addressing common transfer barriers</w:t>
      </w:r>
    </w:p>
    <w:p w14:paraId="232796C3" w14:textId="77777777" w:rsidR="002639FF" w:rsidRPr="007A668B" w:rsidRDefault="002639FF" w:rsidP="002639FF">
      <w:pPr>
        <w:numPr>
          <w:ilvl w:val="0"/>
          <w:numId w:val="23"/>
        </w:numPr>
        <w:spacing w:after="200" w:line="276" w:lineRule="auto"/>
      </w:pPr>
      <w:r w:rsidRPr="007A668B">
        <w:t>Equity-focused advising</w:t>
      </w:r>
    </w:p>
    <w:p w14:paraId="40CF70AF" w14:textId="77777777" w:rsidR="002639FF" w:rsidRPr="007A668B" w:rsidRDefault="002639FF" w:rsidP="002639FF">
      <w:pPr>
        <w:numPr>
          <w:ilvl w:val="0"/>
          <w:numId w:val="23"/>
        </w:numPr>
        <w:spacing w:after="200" w:line="276" w:lineRule="auto"/>
      </w:pPr>
      <w:r w:rsidRPr="007A668B">
        <w:t>Use of statewide transfer/articulation agreements (e.g., gtPathways)</w:t>
      </w:r>
    </w:p>
    <w:p w14:paraId="7122CC1A" w14:textId="77777777" w:rsidR="002639FF" w:rsidRPr="007A668B" w:rsidRDefault="002639FF" w:rsidP="002639FF">
      <w:pPr>
        <w:numPr>
          <w:ilvl w:val="0"/>
          <w:numId w:val="23"/>
        </w:numPr>
        <w:spacing w:after="200" w:line="276" w:lineRule="auto"/>
      </w:pPr>
      <w:r w:rsidRPr="007A668B">
        <w:t>Data tools for tracking transfer students</w:t>
      </w:r>
    </w:p>
    <w:p w14:paraId="5EFCFC2D" w14:textId="77777777" w:rsidR="002639FF" w:rsidRPr="007A668B" w:rsidRDefault="002639FF" w:rsidP="002639FF">
      <w:pPr>
        <w:numPr>
          <w:ilvl w:val="0"/>
          <w:numId w:val="23"/>
        </w:numPr>
        <w:spacing w:after="200" w:line="276" w:lineRule="auto"/>
      </w:pPr>
      <w:r w:rsidRPr="007A668B">
        <w:t>Best practices from other states</w:t>
      </w:r>
    </w:p>
    <w:p w14:paraId="2A633892" w14:textId="77777777" w:rsidR="002639FF" w:rsidRPr="00B729C2" w:rsidRDefault="002639FF" w:rsidP="00213A08">
      <w:pPr>
        <w:pStyle w:val="Heading4"/>
      </w:pPr>
      <w:r w:rsidRPr="00B729C2">
        <w:t>Challenges Faced</w:t>
      </w:r>
    </w:p>
    <w:p w14:paraId="3B7DF3EF" w14:textId="77777777" w:rsidR="002639FF" w:rsidRPr="007A668B" w:rsidRDefault="002639FF" w:rsidP="002639FF">
      <w:r w:rsidRPr="007A668B">
        <w:t>Common barriers include:</w:t>
      </w:r>
    </w:p>
    <w:p w14:paraId="6A03E8D2" w14:textId="77777777" w:rsidR="002639FF" w:rsidRPr="007A668B" w:rsidRDefault="002639FF" w:rsidP="002639FF">
      <w:pPr>
        <w:numPr>
          <w:ilvl w:val="0"/>
          <w:numId w:val="24"/>
        </w:numPr>
        <w:spacing w:after="200" w:line="276" w:lineRule="auto"/>
      </w:pPr>
      <w:r w:rsidRPr="007A668B">
        <w:t>Inconsistent course structures across institutions (e.g., Intro Psych split across semesters)</w:t>
      </w:r>
    </w:p>
    <w:p w14:paraId="3307A7B1" w14:textId="77777777" w:rsidR="002639FF" w:rsidRPr="007A668B" w:rsidRDefault="002639FF" w:rsidP="002639FF">
      <w:pPr>
        <w:numPr>
          <w:ilvl w:val="0"/>
          <w:numId w:val="24"/>
        </w:numPr>
        <w:spacing w:after="200" w:line="276" w:lineRule="auto"/>
      </w:pPr>
      <w:r w:rsidRPr="007A668B">
        <w:t>Misalignment between CCCS and 4-year universities</w:t>
      </w:r>
    </w:p>
    <w:p w14:paraId="47B8FE41" w14:textId="77777777" w:rsidR="002639FF" w:rsidRPr="007A668B" w:rsidRDefault="002639FF" w:rsidP="002639FF">
      <w:pPr>
        <w:numPr>
          <w:ilvl w:val="0"/>
          <w:numId w:val="24"/>
        </w:numPr>
        <w:spacing w:after="200" w:line="276" w:lineRule="auto"/>
      </w:pPr>
      <w:r w:rsidRPr="007A668B">
        <w:t>Issues with systems like Navigate and Banner</w:t>
      </w:r>
    </w:p>
    <w:p w14:paraId="1EFECBFF" w14:textId="77777777" w:rsidR="002639FF" w:rsidRPr="007A668B" w:rsidRDefault="002639FF" w:rsidP="002639FF">
      <w:pPr>
        <w:numPr>
          <w:ilvl w:val="0"/>
          <w:numId w:val="24"/>
        </w:numPr>
        <w:spacing w:after="200" w:line="276" w:lineRule="auto"/>
      </w:pPr>
      <w:r w:rsidRPr="007A668B">
        <w:t>Transfer credit evaluation delays</w:t>
      </w:r>
    </w:p>
    <w:p w14:paraId="2FE4BAF2" w14:textId="77777777" w:rsidR="002639FF" w:rsidRPr="00B729C2" w:rsidRDefault="002639FF" w:rsidP="00213A08">
      <w:pPr>
        <w:pStyle w:val="Heading4"/>
      </w:pPr>
      <w:r w:rsidRPr="00B729C2">
        <w:t>Preferred PD Formats</w:t>
      </w:r>
    </w:p>
    <w:p w14:paraId="74E4B06D" w14:textId="77777777" w:rsidR="002639FF" w:rsidRPr="007A668B" w:rsidRDefault="002639FF" w:rsidP="002639FF">
      <w:pPr>
        <w:numPr>
          <w:ilvl w:val="0"/>
          <w:numId w:val="25"/>
        </w:numPr>
        <w:spacing w:after="200" w:line="276" w:lineRule="auto"/>
      </w:pPr>
      <w:r w:rsidRPr="007A668B">
        <w:rPr>
          <w:b/>
          <w:bCs/>
        </w:rPr>
        <w:t>Virtual live workshops/webinars</w:t>
      </w:r>
      <w:r w:rsidRPr="007A668B">
        <w:t>: 168</w:t>
      </w:r>
    </w:p>
    <w:p w14:paraId="04512FA0" w14:textId="77777777" w:rsidR="002639FF" w:rsidRPr="007A668B" w:rsidRDefault="002639FF" w:rsidP="002639FF">
      <w:pPr>
        <w:numPr>
          <w:ilvl w:val="0"/>
          <w:numId w:val="25"/>
        </w:numPr>
        <w:spacing w:after="200" w:line="276" w:lineRule="auto"/>
      </w:pPr>
      <w:r w:rsidRPr="007A668B">
        <w:rPr>
          <w:b/>
          <w:bCs/>
        </w:rPr>
        <w:t>Self-paced online modules</w:t>
      </w:r>
      <w:r w:rsidRPr="007A668B">
        <w:t>: 127</w:t>
      </w:r>
    </w:p>
    <w:p w14:paraId="399CC180" w14:textId="77777777" w:rsidR="002639FF" w:rsidRPr="007A668B" w:rsidRDefault="002639FF" w:rsidP="002639FF">
      <w:pPr>
        <w:numPr>
          <w:ilvl w:val="0"/>
          <w:numId w:val="25"/>
        </w:numPr>
        <w:spacing w:after="200" w:line="276" w:lineRule="auto"/>
      </w:pPr>
      <w:r w:rsidRPr="007A668B">
        <w:rPr>
          <w:b/>
          <w:bCs/>
        </w:rPr>
        <w:t>Regional in-person workshops</w:t>
      </w:r>
      <w:r w:rsidRPr="007A668B">
        <w:t>: 107</w:t>
      </w:r>
    </w:p>
    <w:p w14:paraId="4DB82411" w14:textId="77777777" w:rsidR="002639FF" w:rsidRPr="007A668B" w:rsidRDefault="002639FF" w:rsidP="002639FF">
      <w:pPr>
        <w:numPr>
          <w:ilvl w:val="0"/>
          <w:numId w:val="25"/>
        </w:numPr>
        <w:spacing w:after="200" w:line="276" w:lineRule="auto"/>
      </w:pPr>
      <w:r w:rsidRPr="007A668B">
        <w:rPr>
          <w:b/>
          <w:bCs/>
        </w:rPr>
        <w:t>Statewide convenings</w:t>
      </w:r>
      <w:r w:rsidRPr="007A668B">
        <w:t>: 77</w:t>
      </w:r>
    </w:p>
    <w:p w14:paraId="2C4C6E7A" w14:textId="77777777" w:rsidR="002639FF" w:rsidRPr="00B729C2" w:rsidRDefault="002639FF" w:rsidP="00213A08">
      <w:pPr>
        <w:pStyle w:val="Heading4"/>
      </w:pPr>
      <w:r w:rsidRPr="00B729C2">
        <w:t>Participation Frequency</w:t>
      </w:r>
    </w:p>
    <w:p w14:paraId="0B37110B" w14:textId="77777777" w:rsidR="002639FF" w:rsidRPr="007A668B" w:rsidRDefault="002639FF" w:rsidP="002639FF">
      <w:pPr>
        <w:numPr>
          <w:ilvl w:val="0"/>
          <w:numId w:val="26"/>
        </w:numPr>
        <w:spacing w:after="200" w:line="276" w:lineRule="auto"/>
      </w:pPr>
      <w:r w:rsidRPr="007A668B">
        <w:t xml:space="preserve">Most prefer </w:t>
      </w:r>
      <w:r w:rsidRPr="007A668B">
        <w:rPr>
          <w:b/>
          <w:bCs/>
        </w:rPr>
        <w:t>“As needed”</w:t>
      </w:r>
      <w:r w:rsidRPr="007A668B">
        <w:t xml:space="preserve"> (99)</w:t>
      </w:r>
    </w:p>
    <w:p w14:paraId="5A959ADA" w14:textId="77777777" w:rsidR="002639FF" w:rsidRPr="007A668B" w:rsidRDefault="002639FF" w:rsidP="002639FF">
      <w:pPr>
        <w:numPr>
          <w:ilvl w:val="0"/>
          <w:numId w:val="26"/>
        </w:numPr>
        <w:spacing w:after="200" w:line="276" w:lineRule="auto"/>
      </w:pPr>
      <w:r w:rsidRPr="007A668B">
        <w:t xml:space="preserve">Others opt for </w:t>
      </w:r>
      <w:r w:rsidRPr="007A668B">
        <w:rPr>
          <w:b/>
          <w:bCs/>
        </w:rPr>
        <w:t>annual or biannual</w:t>
      </w:r>
      <w:r w:rsidRPr="007A668B">
        <w:t xml:space="preserve"> participation</w:t>
      </w:r>
    </w:p>
    <w:p w14:paraId="38627E74" w14:textId="77777777" w:rsidR="002639FF" w:rsidRPr="00B729C2" w:rsidRDefault="002639FF" w:rsidP="00213A08">
      <w:pPr>
        <w:pStyle w:val="Heading4"/>
      </w:pPr>
      <w:r w:rsidRPr="00B729C2">
        <w:lastRenderedPageBreak/>
        <w:t>Institutional Support Needs</w:t>
      </w:r>
    </w:p>
    <w:p w14:paraId="3599F924" w14:textId="77777777" w:rsidR="002639FF" w:rsidRPr="007A668B" w:rsidRDefault="002639FF" w:rsidP="002639FF">
      <w:r w:rsidRPr="007A668B">
        <w:t xml:space="preserve">Top </w:t>
      </w:r>
      <w:proofErr w:type="gramStart"/>
      <w:r w:rsidRPr="007A668B">
        <w:t>supports</w:t>
      </w:r>
      <w:proofErr w:type="gramEnd"/>
      <w:r w:rsidRPr="007A668B">
        <w:t xml:space="preserve"> to increase PD participation:</w:t>
      </w:r>
    </w:p>
    <w:p w14:paraId="6EF79B1D" w14:textId="77777777" w:rsidR="002639FF" w:rsidRPr="007A668B" w:rsidRDefault="002639FF" w:rsidP="002639FF">
      <w:pPr>
        <w:numPr>
          <w:ilvl w:val="0"/>
          <w:numId w:val="27"/>
        </w:numPr>
        <w:spacing w:after="200" w:line="276" w:lineRule="auto"/>
      </w:pPr>
      <w:r w:rsidRPr="007A668B">
        <w:t>Release time/workload recognition: 142</w:t>
      </w:r>
    </w:p>
    <w:p w14:paraId="2C069ADA" w14:textId="77777777" w:rsidR="002639FF" w:rsidRPr="007A668B" w:rsidRDefault="002639FF" w:rsidP="002639FF">
      <w:pPr>
        <w:numPr>
          <w:ilvl w:val="0"/>
          <w:numId w:val="27"/>
        </w:numPr>
        <w:spacing w:after="200" w:line="276" w:lineRule="auto"/>
      </w:pPr>
      <w:r w:rsidRPr="007A668B">
        <w:t>Travel funding: 143</w:t>
      </w:r>
    </w:p>
    <w:p w14:paraId="146F65A7" w14:textId="77777777" w:rsidR="002639FF" w:rsidRPr="007A668B" w:rsidRDefault="002639FF" w:rsidP="002639FF">
      <w:pPr>
        <w:numPr>
          <w:ilvl w:val="0"/>
          <w:numId w:val="27"/>
        </w:numPr>
        <w:spacing w:after="200" w:line="276" w:lineRule="auto"/>
      </w:pPr>
      <w:r w:rsidRPr="007A668B">
        <w:t>Access to materials afterward: 130</w:t>
      </w:r>
    </w:p>
    <w:p w14:paraId="109B83F3" w14:textId="77777777" w:rsidR="002639FF" w:rsidRPr="00B729C2" w:rsidRDefault="002639FF" w:rsidP="00213A08">
      <w:pPr>
        <w:pStyle w:val="Heading4"/>
      </w:pPr>
      <w:r w:rsidRPr="00B729C2">
        <w:t>Funding for PD Initiatives</w:t>
      </w:r>
    </w:p>
    <w:p w14:paraId="3921B14F" w14:textId="77777777" w:rsidR="002639FF" w:rsidRPr="007A668B" w:rsidRDefault="002639FF" w:rsidP="002639FF">
      <w:pPr>
        <w:numPr>
          <w:ilvl w:val="0"/>
          <w:numId w:val="28"/>
        </w:numPr>
        <w:spacing w:after="200" w:line="276" w:lineRule="auto"/>
      </w:pPr>
      <w:r w:rsidRPr="007A668B">
        <w:t>Most respondents preferred not to answer funding questions</w:t>
      </w:r>
    </w:p>
    <w:p w14:paraId="5C9BE7BC" w14:textId="77777777" w:rsidR="002639FF" w:rsidRPr="007A668B" w:rsidRDefault="002639FF" w:rsidP="002639FF">
      <w:pPr>
        <w:numPr>
          <w:ilvl w:val="0"/>
          <w:numId w:val="28"/>
        </w:numPr>
        <w:spacing w:after="200" w:line="276" w:lineRule="auto"/>
      </w:pPr>
      <w:r w:rsidRPr="007A668B">
        <w:t xml:space="preserve">Among those who did: </w:t>
      </w:r>
    </w:p>
    <w:p w14:paraId="6415EE70" w14:textId="77777777" w:rsidR="002639FF" w:rsidRPr="007A668B" w:rsidRDefault="002639FF" w:rsidP="002639FF">
      <w:pPr>
        <w:numPr>
          <w:ilvl w:val="1"/>
          <w:numId w:val="28"/>
        </w:numPr>
        <w:spacing w:after="200" w:line="276" w:lineRule="auto"/>
      </w:pPr>
      <w:r w:rsidRPr="007A668B">
        <w:t>$25,000–$49,999 and $50,000+ were most common meaningful amounts</w:t>
      </w:r>
    </w:p>
    <w:p w14:paraId="3869220B" w14:textId="77777777" w:rsidR="002639FF" w:rsidRPr="00B729C2" w:rsidRDefault="002639FF" w:rsidP="00213A08">
      <w:pPr>
        <w:pStyle w:val="Heading4"/>
      </w:pPr>
      <w:r w:rsidRPr="00B729C2">
        <w:t>Use of Funds</w:t>
      </w:r>
    </w:p>
    <w:p w14:paraId="344BD44B" w14:textId="77777777" w:rsidR="002639FF" w:rsidRPr="007A668B" w:rsidRDefault="002639FF" w:rsidP="002639FF">
      <w:r w:rsidRPr="007A668B">
        <w:t>Suggestions included:</w:t>
      </w:r>
    </w:p>
    <w:p w14:paraId="5C1C01FC" w14:textId="77777777" w:rsidR="002639FF" w:rsidRPr="007A668B" w:rsidRDefault="002639FF" w:rsidP="002639FF">
      <w:pPr>
        <w:numPr>
          <w:ilvl w:val="0"/>
          <w:numId w:val="29"/>
        </w:numPr>
        <w:spacing w:after="200" w:line="276" w:lineRule="auto"/>
      </w:pPr>
      <w:r w:rsidRPr="007A668B">
        <w:t>Developing online tools and guides</w:t>
      </w:r>
    </w:p>
    <w:p w14:paraId="3984F7FD" w14:textId="77777777" w:rsidR="002639FF" w:rsidRPr="007A668B" w:rsidRDefault="002639FF" w:rsidP="002639FF">
      <w:pPr>
        <w:numPr>
          <w:ilvl w:val="0"/>
          <w:numId w:val="29"/>
        </w:numPr>
        <w:spacing w:after="200" w:line="276" w:lineRule="auto"/>
      </w:pPr>
      <w:r w:rsidRPr="007A668B">
        <w:t>Conducting workshops and training</w:t>
      </w:r>
    </w:p>
    <w:p w14:paraId="3D2A7DC7" w14:textId="77777777" w:rsidR="002639FF" w:rsidRPr="007A668B" w:rsidRDefault="002639FF" w:rsidP="002639FF">
      <w:pPr>
        <w:numPr>
          <w:ilvl w:val="0"/>
          <w:numId w:val="29"/>
        </w:numPr>
        <w:spacing w:after="200" w:line="276" w:lineRule="auto"/>
      </w:pPr>
      <w:r w:rsidRPr="007A668B">
        <w:t>Creating self-paced advising modules</w:t>
      </w:r>
    </w:p>
    <w:p w14:paraId="2227FF1B" w14:textId="77777777" w:rsidR="002639FF" w:rsidRPr="00B729C2" w:rsidRDefault="002639FF" w:rsidP="00213A08">
      <w:pPr>
        <w:pStyle w:val="Heading4"/>
      </w:pPr>
      <w:r w:rsidRPr="00B729C2">
        <w:t>Most Impactful State Support</w:t>
      </w:r>
    </w:p>
    <w:p w14:paraId="7372710B" w14:textId="77777777" w:rsidR="002639FF" w:rsidRPr="007A668B" w:rsidRDefault="002639FF" w:rsidP="002639FF">
      <w:pPr>
        <w:numPr>
          <w:ilvl w:val="0"/>
          <w:numId w:val="30"/>
        </w:numPr>
        <w:spacing w:after="200" w:line="276" w:lineRule="auto"/>
      </w:pPr>
      <w:r w:rsidRPr="007A668B">
        <w:t>Centralized, consistent PD for advisors and faculty</w:t>
      </w:r>
    </w:p>
    <w:p w14:paraId="0867A2B8" w14:textId="77777777" w:rsidR="002639FF" w:rsidRPr="007A668B" w:rsidRDefault="002639FF" w:rsidP="002639FF">
      <w:pPr>
        <w:numPr>
          <w:ilvl w:val="0"/>
          <w:numId w:val="30"/>
        </w:numPr>
        <w:spacing w:after="200" w:line="276" w:lineRule="auto"/>
      </w:pPr>
      <w:r w:rsidRPr="007A668B">
        <w:t xml:space="preserve">Training in systems like </w:t>
      </w:r>
      <w:r>
        <w:t xml:space="preserve">EAB </w:t>
      </w:r>
      <w:r w:rsidRPr="007A668B">
        <w:t>Navigate</w:t>
      </w:r>
    </w:p>
    <w:p w14:paraId="0ADA19BB" w14:textId="77777777" w:rsidR="002639FF" w:rsidRPr="007A668B" w:rsidRDefault="002639FF" w:rsidP="002639FF">
      <w:pPr>
        <w:numPr>
          <w:ilvl w:val="0"/>
          <w:numId w:val="30"/>
        </w:numPr>
        <w:spacing w:after="200" w:line="276" w:lineRule="auto"/>
      </w:pPr>
      <w:r w:rsidRPr="007A668B">
        <w:t>Connections between 2-year and 4-year institutions</w:t>
      </w:r>
    </w:p>
    <w:p w14:paraId="6C19C6D7" w14:textId="77777777" w:rsidR="002639FF" w:rsidRPr="00B729C2" w:rsidRDefault="002639FF" w:rsidP="00213A08">
      <w:pPr>
        <w:pStyle w:val="Heading4"/>
      </w:pPr>
      <w:r w:rsidRPr="00B729C2">
        <w:t>Successful Practices Shared</w:t>
      </w:r>
    </w:p>
    <w:p w14:paraId="33EE10E1" w14:textId="77777777" w:rsidR="002639FF" w:rsidRPr="007A668B" w:rsidRDefault="002639FF" w:rsidP="002639FF">
      <w:r w:rsidRPr="007A668B">
        <w:t>Examples included:</w:t>
      </w:r>
    </w:p>
    <w:p w14:paraId="4F0A5B6F" w14:textId="77777777" w:rsidR="002639FF" w:rsidRPr="007A668B" w:rsidRDefault="002639FF" w:rsidP="002639FF">
      <w:pPr>
        <w:numPr>
          <w:ilvl w:val="0"/>
          <w:numId w:val="31"/>
        </w:numPr>
        <w:spacing w:after="200" w:line="276" w:lineRule="auto"/>
      </w:pPr>
      <w:r w:rsidRPr="007A668B">
        <w:t>Standardized course numbering</w:t>
      </w:r>
    </w:p>
    <w:p w14:paraId="5B62870A" w14:textId="77777777" w:rsidR="002639FF" w:rsidRPr="007A668B" w:rsidRDefault="002639FF" w:rsidP="002639FF">
      <w:pPr>
        <w:numPr>
          <w:ilvl w:val="0"/>
          <w:numId w:val="31"/>
        </w:numPr>
        <w:spacing w:after="200" w:line="276" w:lineRule="auto"/>
      </w:pPr>
      <w:r w:rsidRPr="007A668B">
        <w:t>Inter-institutional programs (e.g., CCD, MSU, CU Denver)</w:t>
      </w:r>
    </w:p>
    <w:p w14:paraId="6DE3830A" w14:textId="77777777" w:rsidR="002639FF" w:rsidRPr="007A668B" w:rsidRDefault="002639FF" w:rsidP="002639FF">
      <w:pPr>
        <w:numPr>
          <w:ilvl w:val="0"/>
          <w:numId w:val="31"/>
        </w:numPr>
        <w:spacing w:after="200" w:line="276" w:lineRule="auto"/>
      </w:pPr>
      <w:r w:rsidRPr="007A668B">
        <w:t>Career readiness assignments in introductory courses</w:t>
      </w:r>
    </w:p>
    <w:p w14:paraId="774509CD" w14:textId="77777777" w:rsidR="002639FF" w:rsidRPr="00B773AA" w:rsidRDefault="002639FF" w:rsidP="00B773AA"/>
    <w:sectPr w:rsidR="002639FF" w:rsidRPr="00B773AA" w:rsidSect="00E94325">
      <w:headerReference w:type="default" r:id="rId17"/>
      <w:footerReference w:type="default" r:id="rId18"/>
      <w:type w:val="continuous"/>
      <w:pgSz w:w="12240" w:h="15840"/>
      <w:pgMar w:top="864" w:right="864" w:bottom="86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44D1" w14:textId="77777777" w:rsidR="00A253D0" w:rsidRDefault="00A253D0" w:rsidP="00385275">
      <w:r>
        <w:separator/>
      </w:r>
    </w:p>
  </w:endnote>
  <w:endnote w:type="continuationSeparator" w:id="0">
    <w:p w14:paraId="1CB2EB3B" w14:textId="77777777" w:rsidR="00A253D0" w:rsidRDefault="00A253D0" w:rsidP="0038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lab 500">
    <w:altName w:val="Calibri"/>
    <w:panose1 w:val="00000000000000000000"/>
    <w:charset w:val="4D"/>
    <w:family w:val="auto"/>
    <w:notTrueType/>
    <w:pitch w:val="variable"/>
    <w:sig w:usb0="A00000AF" w:usb1="4000004B" w:usb2="00000000" w:usb3="00000000" w:csb0="00000093" w:csb1="00000000"/>
  </w:font>
  <w:font w:name="Lao MN">
    <w:altName w:val="DokChampa"/>
    <w:charset w:val="00"/>
    <w:family w:val="auto"/>
    <w:pitch w:val="variable"/>
    <w:sig w:usb0="02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charset w:val="4D"/>
    <w:family w:val="auto"/>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Helvetica-Bold">
    <w:altName w:val="Helvetica"/>
    <w:panose1 w:val="00000000000000000000"/>
    <w:charset w:val="4D"/>
    <w:family w:val="auto"/>
    <w:notTrueType/>
    <w:pitch w:val="default"/>
    <w:sig w:usb0="00000003" w:usb1="00000000" w:usb2="00000000" w:usb3="00000000" w:csb0="00000001" w:csb1="00000000"/>
  </w:font>
  <w:font w:name="MuseoSlab-500">
    <w:altName w:val="Cambria"/>
    <w:panose1 w:val="00000000000000000000"/>
    <w:charset w:val="4D"/>
    <w:family w:val="auto"/>
    <w:notTrueType/>
    <w:pitch w:val="variable"/>
    <w:sig w:usb0="A00000AF" w:usb1="4000004B" w:usb2="00000000" w:usb3="00000000" w:csb0="00000093" w:csb1="00000000"/>
  </w:font>
  <w:font w:name="TrebuchetMS-Bold">
    <w:altName w:val="Calibri"/>
    <w:panose1 w:val="00000000000000000000"/>
    <w:charset w:val="4D"/>
    <w:family w:val="auto"/>
    <w:notTrueType/>
    <w:pitch w:val="default"/>
    <w:sig w:usb0="00000003" w:usb1="00000000" w:usb2="00000000" w:usb3="00000000" w:csb0="00000001" w:csb1="00000000"/>
  </w:font>
  <w:font w:name="Helvetica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918B" w14:textId="12F1211A" w:rsidR="00E94325" w:rsidRDefault="00E94325">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86B6" w14:textId="77777777" w:rsidR="00A253D0" w:rsidRDefault="00A253D0" w:rsidP="00385275">
      <w:r>
        <w:separator/>
      </w:r>
    </w:p>
  </w:footnote>
  <w:footnote w:type="continuationSeparator" w:id="0">
    <w:p w14:paraId="620C41D2" w14:textId="77777777" w:rsidR="00A253D0" w:rsidRDefault="00A253D0" w:rsidP="00385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F274" w14:textId="1DACDE07" w:rsidR="00E94325" w:rsidRDefault="00E94325">
    <w:pPr>
      <w:pStyle w:val="Header"/>
    </w:pPr>
    <w:r>
      <w:tab/>
    </w:r>
    <w:r>
      <w:tab/>
      <w:t xml:space="preserve">General Education Council Report on SB24-164 | </w:t>
    </w:r>
    <w:r>
      <w:fldChar w:fldCharType="begin"/>
    </w:r>
    <w:r>
      <w:instrText xml:space="preserve"> PAGE   \* MERGEFORMAT </w:instrText>
    </w:r>
    <w:r>
      <w:fldChar w:fldCharType="separate"/>
    </w:r>
    <w:r>
      <w:rPr>
        <w:noProof/>
      </w:rPr>
      <w:t>1</w:t>
    </w:r>
    <w:r>
      <w:rPr>
        <w:noProof/>
      </w:rPr>
      <w:fldChar w:fldCharType="end"/>
    </w:r>
  </w:p>
</w:hdr>
</file>

<file path=word/intelligence2.xml><?xml version="1.0" encoding="utf-8"?>
<int2:intelligence xmlns:int2="http://schemas.microsoft.com/office/intelligence/2020/intelligence" xmlns:oel="http://schemas.microsoft.com/office/2019/extlst">
  <int2:observations>
    <int2:textHash int2:hashCode="eG8gImw/26rWT9" int2:id="AijzzSz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88EAB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 w15:restartNumberingAfterBreak="0">
    <w:nsid w:val="02470079"/>
    <w:multiLevelType w:val="hybridMultilevel"/>
    <w:tmpl w:val="93801BD2"/>
    <w:lvl w:ilvl="0" w:tplc="B33200EC">
      <w:start w:val="1"/>
      <w:numFmt w:val="bullet"/>
      <w:lvlText w:val="•"/>
      <w:lvlJc w:val="left"/>
      <w:pPr>
        <w:tabs>
          <w:tab w:val="num" w:pos="720"/>
        </w:tabs>
        <w:ind w:left="720" w:hanging="360"/>
      </w:pPr>
      <w:rPr>
        <w:rFonts w:ascii="Arial" w:hAnsi="Arial" w:hint="default"/>
      </w:rPr>
    </w:lvl>
    <w:lvl w:ilvl="1" w:tplc="D646E60E">
      <w:start w:val="515"/>
      <w:numFmt w:val="bullet"/>
      <w:lvlText w:val="•"/>
      <w:lvlJc w:val="left"/>
      <w:pPr>
        <w:tabs>
          <w:tab w:val="num" w:pos="1440"/>
        </w:tabs>
        <w:ind w:left="1440" w:hanging="360"/>
      </w:pPr>
      <w:rPr>
        <w:rFonts w:ascii="Arial" w:hAnsi="Arial" w:hint="default"/>
      </w:rPr>
    </w:lvl>
    <w:lvl w:ilvl="2" w:tplc="5A0854E0" w:tentative="1">
      <w:start w:val="1"/>
      <w:numFmt w:val="bullet"/>
      <w:lvlText w:val="•"/>
      <w:lvlJc w:val="left"/>
      <w:pPr>
        <w:tabs>
          <w:tab w:val="num" w:pos="2160"/>
        </w:tabs>
        <w:ind w:left="2160" w:hanging="360"/>
      </w:pPr>
      <w:rPr>
        <w:rFonts w:ascii="Arial" w:hAnsi="Arial" w:hint="default"/>
      </w:rPr>
    </w:lvl>
    <w:lvl w:ilvl="3" w:tplc="90FEEAE4" w:tentative="1">
      <w:start w:val="1"/>
      <w:numFmt w:val="bullet"/>
      <w:lvlText w:val="•"/>
      <w:lvlJc w:val="left"/>
      <w:pPr>
        <w:tabs>
          <w:tab w:val="num" w:pos="2880"/>
        </w:tabs>
        <w:ind w:left="2880" w:hanging="360"/>
      </w:pPr>
      <w:rPr>
        <w:rFonts w:ascii="Arial" w:hAnsi="Arial" w:hint="default"/>
      </w:rPr>
    </w:lvl>
    <w:lvl w:ilvl="4" w:tplc="AA4A7D78" w:tentative="1">
      <w:start w:val="1"/>
      <w:numFmt w:val="bullet"/>
      <w:lvlText w:val="•"/>
      <w:lvlJc w:val="left"/>
      <w:pPr>
        <w:tabs>
          <w:tab w:val="num" w:pos="3600"/>
        </w:tabs>
        <w:ind w:left="3600" w:hanging="360"/>
      </w:pPr>
      <w:rPr>
        <w:rFonts w:ascii="Arial" w:hAnsi="Arial" w:hint="default"/>
      </w:rPr>
    </w:lvl>
    <w:lvl w:ilvl="5" w:tplc="D51644CA" w:tentative="1">
      <w:start w:val="1"/>
      <w:numFmt w:val="bullet"/>
      <w:lvlText w:val="•"/>
      <w:lvlJc w:val="left"/>
      <w:pPr>
        <w:tabs>
          <w:tab w:val="num" w:pos="4320"/>
        </w:tabs>
        <w:ind w:left="4320" w:hanging="360"/>
      </w:pPr>
      <w:rPr>
        <w:rFonts w:ascii="Arial" w:hAnsi="Arial" w:hint="default"/>
      </w:rPr>
    </w:lvl>
    <w:lvl w:ilvl="6" w:tplc="78723BBE" w:tentative="1">
      <w:start w:val="1"/>
      <w:numFmt w:val="bullet"/>
      <w:lvlText w:val="•"/>
      <w:lvlJc w:val="left"/>
      <w:pPr>
        <w:tabs>
          <w:tab w:val="num" w:pos="5040"/>
        </w:tabs>
        <w:ind w:left="5040" w:hanging="360"/>
      </w:pPr>
      <w:rPr>
        <w:rFonts w:ascii="Arial" w:hAnsi="Arial" w:hint="default"/>
      </w:rPr>
    </w:lvl>
    <w:lvl w:ilvl="7" w:tplc="65B08750" w:tentative="1">
      <w:start w:val="1"/>
      <w:numFmt w:val="bullet"/>
      <w:lvlText w:val="•"/>
      <w:lvlJc w:val="left"/>
      <w:pPr>
        <w:tabs>
          <w:tab w:val="num" w:pos="5760"/>
        </w:tabs>
        <w:ind w:left="5760" w:hanging="360"/>
      </w:pPr>
      <w:rPr>
        <w:rFonts w:ascii="Arial" w:hAnsi="Arial" w:hint="default"/>
      </w:rPr>
    </w:lvl>
    <w:lvl w:ilvl="8" w:tplc="984AD7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7440BA"/>
    <w:multiLevelType w:val="multilevel"/>
    <w:tmpl w:val="BA4A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26C4E"/>
    <w:multiLevelType w:val="hybridMultilevel"/>
    <w:tmpl w:val="5EB6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12CE5"/>
    <w:multiLevelType w:val="multilevel"/>
    <w:tmpl w:val="2772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4685C"/>
    <w:multiLevelType w:val="multilevel"/>
    <w:tmpl w:val="D87ED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8197D"/>
    <w:multiLevelType w:val="hybridMultilevel"/>
    <w:tmpl w:val="EBBA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05B38"/>
    <w:multiLevelType w:val="multilevel"/>
    <w:tmpl w:val="6FD6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6096F"/>
    <w:multiLevelType w:val="multilevel"/>
    <w:tmpl w:val="533E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E69AE"/>
    <w:multiLevelType w:val="multilevel"/>
    <w:tmpl w:val="0C9C1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77136"/>
    <w:multiLevelType w:val="multilevel"/>
    <w:tmpl w:val="F000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6783C"/>
    <w:multiLevelType w:val="multilevel"/>
    <w:tmpl w:val="B648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C4917"/>
    <w:multiLevelType w:val="multilevel"/>
    <w:tmpl w:val="86CC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03D0F"/>
    <w:multiLevelType w:val="multilevel"/>
    <w:tmpl w:val="5A5A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896062"/>
    <w:multiLevelType w:val="multilevel"/>
    <w:tmpl w:val="D93C5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06484"/>
    <w:multiLevelType w:val="hybridMultilevel"/>
    <w:tmpl w:val="ECF06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3324A5"/>
    <w:multiLevelType w:val="hybridMultilevel"/>
    <w:tmpl w:val="FA34632A"/>
    <w:lvl w:ilvl="0" w:tplc="11B6CE78">
      <w:start w:val="1"/>
      <w:numFmt w:val="bullet"/>
      <w:lvlText w:val="•"/>
      <w:lvlJc w:val="left"/>
      <w:pPr>
        <w:tabs>
          <w:tab w:val="num" w:pos="720"/>
        </w:tabs>
        <w:ind w:left="720" w:hanging="360"/>
      </w:pPr>
      <w:rPr>
        <w:rFonts w:ascii="Arial" w:hAnsi="Arial" w:hint="default"/>
      </w:rPr>
    </w:lvl>
    <w:lvl w:ilvl="1" w:tplc="80F0F74C" w:tentative="1">
      <w:start w:val="1"/>
      <w:numFmt w:val="bullet"/>
      <w:lvlText w:val="•"/>
      <w:lvlJc w:val="left"/>
      <w:pPr>
        <w:tabs>
          <w:tab w:val="num" w:pos="1440"/>
        </w:tabs>
        <w:ind w:left="1440" w:hanging="360"/>
      </w:pPr>
      <w:rPr>
        <w:rFonts w:ascii="Arial" w:hAnsi="Arial" w:hint="default"/>
      </w:rPr>
    </w:lvl>
    <w:lvl w:ilvl="2" w:tplc="9FA288BC" w:tentative="1">
      <w:start w:val="1"/>
      <w:numFmt w:val="bullet"/>
      <w:lvlText w:val="•"/>
      <w:lvlJc w:val="left"/>
      <w:pPr>
        <w:tabs>
          <w:tab w:val="num" w:pos="2160"/>
        </w:tabs>
        <w:ind w:left="2160" w:hanging="360"/>
      </w:pPr>
      <w:rPr>
        <w:rFonts w:ascii="Arial" w:hAnsi="Arial" w:hint="default"/>
      </w:rPr>
    </w:lvl>
    <w:lvl w:ilvl="3" w:tplc="24FC1D32" w:tentative="1">
      <w:start w:val="1"/>
      <w:numFmt w:val="bullet"/>
      <w:lvlText w:val="•"/>
      <w:lvlJc w:val="left"/>
      <w:pPr>
        <w:tabs>
          <w:tab w:val="num" w:pos="2880"/>
        </w:tabs>
        <w:ind w:left="2880" w:hanging="360"/>
      </w:pPr>
      <w:rPr>
        <w:rFonts w:ascii="Arial" w:hAnsi="Arial" w:hint="default"/>
      </w:rPr>
    </w:lvl>
    <w:lvl w:ilvl="4" w:tplc="87DC8238" w:tentative="1">
      <w:start w:val="1"/>
      <w:numFmt w:val="bullet"/>
      <w:lvlText w:val="•"/>
      <w:lvlJc w:val="left"/>
      <w:pPr>
        <w:tabs>
          <w:tab w:val="num" w:pos="3600"/>
        </w:tabs>
        <w:ind w:left="3600" w:hanging="360"/>
      </w:pPr>
      <w:rPr>
        <w:rFonts w:ascii="Arial" w:hAnsi="Arial" w:hint="default"/>
      </w:rPr>
    </w:lvl>
    <w:lvl w:ilvl="5" w:tplc="FDB6CB94" w:tentative="1">
      <w:start w:val="1"/>
      <w:numFmt w:val="bullet"/>
      <w:lvlText w:val="•"/>
      <w:lvlJc w:val="left"/>
      <w:pPr>
        <w:tabs>
          <w:tab w:val="num" w:pos="4320"/>
        </w:tabs>
        <w:ind w:left="4320" w:hanging="360"/>
      </w:pPr>
      <w:rPr>
        <w:rFonts w:ascii="Arial" w:hAnsi="Arial" w:hint="default"/>
      </w:rPr>
    </w:lvl>
    <w:lvl w:ilvl="6" w:tplc="A76C54A8" w:tentative="1">
      <w:start w:val="1"/>
      <w:numFmt w:val="bullet"/>
      <w:lvlText w:val="•"/>
      <w:lvlJc w:val="left"/>
      <w:pPr>
        <w:tabs>
          <w:tab w:val="num" w:pos="5040"/>
        </w:tabs>
        <w:ind w:left="5040" w:hanging="360"/>
      </w:pPr>
      <w:rPr>
        <w:rFonts w:ascii="Arial" w:hAnsi="Arial" w:hint="default"/>
      </w:rPr>
    </w:lvl>
    <w:lvl w:ilvl="7" w:tplc="295E648E" w:tentative="1">
      <w:start w:val="1"/>
      <w:numFmt w:val="bullet"/>
      <w:lvlText w:val="•"/>
      <w:lvlJc w:val="left"/>
      <w:pPr>
        <w:tabs>
          <w:tab w:val="num" w:pos="5760"/>
        </w:tabs>
        <w:ind w:left="5760" w:hanging="360"/>
      </w:pPr>
      <w:rPr>
        <w:rFonts w:ascii="Arial" w:hAnsi="Arial" w:hint="default"/>
      </w:rPr>
    </w:lvl>
    <w:lvl w:ilvl="8" w:tplc="1C229D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E56384"/>
    <w:multiLevelType w:val="hybridMultilevel"/>
    <w:tmpl w:val="FD4AB312"/>
    <w:lvl w:ilvl="0" w:tplc="11B6CE7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22E73"/>
    <w:multiLevelType w:val="hybridMultilevel"/>
    <w:tmpl w:val="B314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4164F3"/>
    <w:multiLevelType w:val="hybridMultilevel"/>
    <w:tmpl w:val="2722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601B8"/>
    <w:multiLevelType w:val="multilevel"/>
    <w:tmpl w:val="61BA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206B5E"/>
    <w:multiLevelType w:val="multilevel"/>
    <w:tmpl w:val="7F1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854360"/>
    <w:multiLevelType w:val="hybridMultilevel"/>
    <w:tmpl w:val="0BA2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A2870"/>
    <w:multiLevelType w:val="multilevel"/>
    <w:tmpl w:val="207E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1209C"/>
    <w:multiLevelType w:val="multilevel"/>
    <w:tmpl w:val="783C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984F3C"/>
    <w:multiLevelType w:val="multilevel"/>
    <w:tmpl w:val="E17E5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852F10"/>
    <w:multiLevelType w:val="hybridMultilevel"/>
    <w:tmpl w:val="52F88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DD0696"/>
    <w:multiLevelType w:val="hybridMultilevel"/>
    <w:tmpl w:val="3C68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6B0329"/>
    <w:multiLevelType w:val="multilevel"/>
    <w:tmpl w:val="C38A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7B46C0"/>
    <w:multiLevelType w:val="hybridMultilevel"/>
    <w:tmpl w:val="E260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836C1"/>
    <w:multiLevelType w:val="hybridMultilevel"/>
    <w:tmpl w:val="7170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9B4019"/>
    <w:multiLevelType w:val="hybridMultilevel"/>
    <w:tmpl w:val="65AE5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CD1CAF"/>
    <w:multiLevelType w:val="multilevel"/>
    <w:tmpl w:val="1FAE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1501D4"/>
    <w:multiLevelType w:val="multilevel"/>
    <w:tmpl w:val="C24E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163572">
    <w:abstractNumId w:val="6"/>
  </w:num>
  <w:num w:numId="2" w16cid:durableId="935870988">
    <w:abstractNumId w:val="1"/>
  </w:num>
  <w:num w:numId="3" w16cid:durableId="371079580">
    <w:abstractNumId w:val="29"/>
  </w:num>
  <w:num w:numId="4" w16cid:durableId="861624694">
    <w:abstractNumId w:val="19"/>
  </w:num>
  <w:num w:numId="5" w16cid:durableId="1610090439">
    <w:abstractNumId w:val="27"/>
  </w:num>
  <w:num w:numId="6" w16cid:durableId="102770079">
    <w:abstractNumId w:val="15"/>
  </w:num>
  <w:num w:numId="7" w16cid:durableId="1250626629">
    <w:abstractNumId w:val="18"/>
  </w:num>
  <w:num w:numId="8" w16cid:durableId="1748646034">
    <w:abstractNumId w:val="22"/>
  </w:num>
  <w:num w:numId="9" w16cid:durableId="137305402">
    <w:abstractNumId w:val="16"/>
  </w:num>
  <w:num w:numId="10" w16cid:durableId="1564562138">
    <w:abstractNumId w:val="17"/>
  </w:num>
  <w:num w:numId="11" w16cid:durableId="2052998257">
    <w:abstractNumId w:val="30"/>
  </w:num>
  <w:num w:numId="12" w16cid:durableId="224922652">
    <w:abstractNumId w:val="3"/>
  </w:num>
  <w:num w:numId="13" w16cid:durableId="1691490692">
    <w:abstractNumId w:val="10"/>
  </w:num>
  <w:num w:numId="14" w16cid:durableId="752628131">
    <w:abstractNumId w:val="11"/>
  </w:num>
  <w:num w:numId="15" w16cid:durableId="1126586448">
    <w:abstractNumId w:val="32"/>
  </w:num>
  <w:num w:numId="16" w16cid:durableId="1645045341">
    <w:abstractNumId w:val="13"/>
  </w:num>
  <w:num w:numId="17" w16cid:durableId="673805091">
    <w:abstractNumId w:val="21"/>
  </w:num>
  <w:num w:numId="18" w16cid:durableId="999964972">
    <w:abstractNumId w:val="0"/>
  </w:num>
  <w:num w:numId="19" w16cid:durableId="1823695134">
    <w:abstractNumId w:val="31"/>
  </w:num>
  <w:num w:numId="20" w16cid:durableId="1963267657">
    <w:abstractNumId w:val="5"/>
  </w:num>
  <w:num w:numId="21" w16cid:durableId="2130855477">
    <w:abstractNumId w:val="14"/>
  </w:num>
  <w:num w:numId="22" w16cid:durableId="2144883958">
    <w:abstractNumId w:val="9"/>
  </w:num>
  <w:num w:numId="23" w16cid:durableId="1648238972">
    <w:abstractNumId w:val="12"/>
  </w:num>
  <w:num w:numId="24" w16cid:durableId="1766151212">
    <w:abstractNumId w:val="20"/>
  </w:num>
  <w:num w:numId="25" w16cid:durableId="1753382760">
    <w:abstractNumId w:val="28"/>
  </w:num>
  <w:num w:numId="26" w16cid:durableId="1941722926">
    <w:abstractNumId w:val="33"/>
  </w:num>
  <w:num w:numId="27" w16cid:durableId="1083603708">
    <w:abstractNumId w:val="23"/>
  </w:num>
  <w:num w:numId="28" w16cid:durableId="56512153">
    <w:abstractNumId w:val="25"/>
  </w:num>
  <w:num w:numId="29" w16cid:durableId="658927176">
    <w:abstractNumId w:val="4"/>
  </w:num>
  <w:num w:numId="30" w16cid:durableId="1875458052">
    <w:abstractNumId w:val="2"/>
  </w:num>
  <w:num w:numId="31" w16cid:durableId="689067480">
    <w:abstractNumId w:val="8"/>
  </w:num>
  <w:num w:numId="32" w16cid:durableId="461192960">
    <w:abstractNumId w:val="26"/>
  </w:num>
  <w:num w:numId="33" w16cid:durableId="679891669">
    <w:abstractNumId w:val="24"/>
  </w:num>
  <w:num w:numId="34" w16cid:durableId="923999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9E"/>
    <w:rsid w:val="00002429"/>
    <w:rsid w:val="00003F00"/>
    <w:rsid w:val="00013548"/>
    <w:rsid w:val="00022433"/>
    <w:rsid w:val="0002560C"/>
    <w:rsid w:val="00025F01"/>
    <w:rsid w:val="00047989"/>
    <w:rsid w:val="00052BC6"/>
    <w:rsid w:val="00054662"/>
    <w:rsid w:val="0007070A"/>
    <w:rsid w:val="00073B28"/>
    <w:rsid w:val="00086951"/>
    <w:rsid w:val="000900D7"/>
    <w:rsid w:val="00090781"/>
    <w:rsid w:val="0009492A"/>
    <w:rsid w:val="000B42EE"/>
    <w:rsid w:val="000D1A80"/>
    <w:rsid w:val="000D481C"/>
    <w:rsid w:val="000E6343"/>
    <w:rsid w:val="000E7E5C"/>
    <w:rsid w:val="000F468A"/>
    <w:rsid w:val="00106CAA"/>
    <w:rsid w:val="0011748E"/>
    <w:rsid w:val="001276F0"/>
    <w:rsid w:val="00132504"/>
    <w:rsid w:val="001436C9"/>
    <w:rsid w:val="0015026B"/>
    <w:rsid w:val="001562E2"/>
    <w:rsid w:val="001607AE"/>
    <w:rsid w:val="001923ED"/>
    <w:rsid w:val="001A45B6"/>
    <w:rsid w:val="001C0DA6"/>
    <w:rsid w:val="001D18C5"/>
    <w:rsid w:val="001D45DA"/>
    <w:rsid w:val="001D7282"/>
    <w:rsid w:val="001D7E58"/>
    <w:rsid w:val="001E5562"/>
    <w:rsid w:val="001F3AE2"/>
    <w:rsid w:val="0020063A"/>
    <w:rsid w:val="002038D5"/>
    <w:rsid w:val="00213A08"/>
    <w:rsid w:val="00221FE1"/>
    <w:rsid w:val="00222BA9"/>
    <w:rsid w:val="002265B1"/>
    <w:rsid w:val="00231091"/>
    <w:rsid w:val="002314F1"/>
    <w:rsid w:val="00233DD7"/>
    <w:rsid w:val="002412F4"/>
    <w:rsid w:val="002510A4"/>
    <w:rsid w:val="0025149F"/>
    <w:rsid w:val="00252D6C"/>
    <w:rsid w:val="002639FF"/>
    <w:rsid w:val="00273B19"/>
    <w:rsid w:val="00276CEC"/>
    <w:rsid w:val="00297F49"/>
    <w:rsid w:val="002A7B60"/>
    <w:rsid w:val="002B5F32"/>
    <w:rsid w:val="002B68D8"/>
    <w:rsid w:val="002C3708"/>
    <w:rsid w:val="002D2EBD"/>
    <w:rsid w:val="002D3E2A"/>
    <w:rsid w:val="002F10C6"/>
    <w:rsid w:val="002F3BA0"/>
    <w:rsid w:val="003044ED"/>
    <w:rsid w:val="00311DB5"/>
    <w:rsid w:val="00335A7C"/>
    <w:rsid w:val="003367B6"/>
    <w:rsid w:val="003472A7"/>
    <w:rsid w:val="0035187A"/>
    <w:rsid w:val="00354AE8"/>
    <w:rsid w:val="00357B5D"/>
    <w:rsid w:val="00365EC9"/>
    <w:rsid w:val="00384A22"/>
    <w:rsid w:val="00385275"/>
    <w:rsid w:val="00392BA3"/>
    <w:rsid w:val="003A2908"/>
    <w:rsid w:val="003B340B"/>
    <w:rsid w:val="003C02D2"/>
    <w:rsid w:val="003C270D"/>
    <w:rsid w:val="003D0AFF"/>
    <w:rsid w:val="003D68A8"/>
    <w:rsid w:val="00401D2E"/>
    <w:rsid w:val="00404295"/>
    <w:rsid w:val="00432788"/>
    <w:rsid w:val="00436F0F"/>
    <w:rsid w:val="004775E9"/>
    <w:rsid w:val="004875AF"/>
    <w:rsid w:val="004910B3"/>
    <w:rsid w:val="00495677"/>
    <w:rsid w:val="004A0BCD"/>
    <w:rsid w:val="004B77FF"/>
    <w:rsid w:val="004C3200"/>
    <w:rsid w:val="004D3665"/>
    <w:rsid w:val="004D5701"/>
    <w:rsid w:val="004F4866"/>
    <w:rsid w:val="0050050F"/>
    <w:rsid w:val="00506165"/>
    <w:rsid w:val="005151DD"/>
    <w:rsid w:val="00521E9B"/>
    <w:rsid w:val="00532E11"/>
    <w:rsid w:val="00536478"/>
    <w:rsid w:val="00543FB8"/>
    <w:rsid w:val="00545299"/>
    <w:rsid w:val="005465B3"/>
    <w:rsid w:val="00546A03"/>
    <w:rsid w:val="00563E25"/>
    <w:rsid w:val="005843BF"/>
    <w:rsid w:val="00592536"/>
    <w:rsid w:val="00594447"/>
    <w:rsid w:val="00597FC2"/>
    <w:rsid w:val="005C40CE"/>
    <w:rsid w:val="005D2E3D"/>
    <w:rsid w:val="005D4CD3"/>
    <w:rsid w:val="005E2C77"/>
    <w:rsid w:val="005E3BE7"/>
    <w:rsid w:val="005E4F52"/>
    <w:rsid w:val="00604CFA"/>
    <w:rsid w:val="00625E07"/>
    <w:rsid w:val="0062619E"/>
    <w:rsid w:val="006406CA"/>
    <w:rsid w:val="00640EB8"/>
    <w:rsid w:val="00654341"/>
    <w:rsid w:val="00664DB9"/>
    <w:rsid w:val="006775E5"/>
    <w:rsid w:val="00697DE0"/>
    <w:rsid w:val="006A0AFD"/>
    <w:rsid w:val="006B4714"/>
    <w:rsid w:val="006B6BE4"/>
    <w:rsid w:val="006B7D2A"/>
    <w:rsid w:val="006C35A4"/>
    <w:rsid w:val="006C6E6F"/>
    <w:rsid w:val="006D2390"/>
    <w:rsid w:val="006E32E0"/>
    <w:rsid w:val="006E5DEC"/>
    <w:rsid w:val="006E721B"/>
    <w:rsid w:val="006F4C5B"/>
    <w:rsid w:val="006F742F"/>
    <w:rsid w:val="006F7446"/>
    <w:rsid w:val="00701D40"/>
    <w:rsid w:val="0070557C"/>
    <w:rsid w:val="007077F3"/>
    <w:rsid w:val="00707ECE"/>
    <w:rsid w:val="0071040E"/>
    <w:rsid w:val="0073289B"/>
    <w:rsid w:val="00733D95"/>
    <w:rsid w:val="00735F07"/>
    <w:rsid w:val="00743593"/>
    <w:rsid w:val="00744547"/>
    <w:rsid w:val="00756250"/>
    <w:rsid w:val="00757223"/>
    <w:rsid w:val="0077717B"/>
    <w:rsid w:val="00784746"/>
    <w:rsid w:val="00784B55"/>
    <w:rsid w:val="00784BC4"/>
    <w:rsid w:val="00794F10"/>
    <w:rsid w:val="007B6671"/>
    <w:rsid w:val="007B73F9"/>
    <w:rsid w:val="007C146A"/>
    <w:rsid w:val="007D290D"/>
    <w:rsid w:val="007E07EE"/>
    <w:rsid w:val="007E38E4"/>
    <w:rsid w:val="007E450F"/>
    <w:rsid w:val="007E4537"/>
    <w:rsid w:val="007F5A6D"/>
    <w:rsid w:val="00805612"/>
    <w:rsid w:val="0081262A"/>
    <w:rsid w:val="0082764E"/>
    <w:rsid w:val="0083122F"/>
    <w:rsid w:val="00856907"/>
    <w:rsid w:val="00877FE2"/>
    <w:rsid w:val="008B10C9"/>
    <w:rsid w:val="008B4FBB"/>
    <w:rsid w:val="008C61A7"/>
    <w:rsid w:val="008C7BD4"/>
    <w:rsid w:val="008D10A6"/>
    <w:rsid w:val="008E6A32"/>
    <w:rsid w:val="008F44DD"/>
    <w:rsid w:val="009005C9"/>
    <w:rsid w:val="009128CD"/>
    <w:rsid w:val="00913426"/>
    <w:rsid w:val="00913D23"/>
    <w:rsid w:val="00917135"/>
    <w:rsid w:val="0092764C"/>
    <w:rsid w:val="00935E32"/>
    <w:rsid w:val="00943695"/>
    <w:rsid w:val="00946E71"/>
    <w:rsid w:val="00950255"/>
    <w:rsid w:val="009530F9"/>
    <w:rsid w:val="0095752C"/>
    <w:rsid w:val="009862A0"/>
    <w:rsid w:val="009875F3"/>
    <w:rsid w:val="009913FB"/>
    <w:rsid w:val="00991FE0"/>
    <w:rsid w:val="009B383D"/>
    <w:rsid w:val="009C7A48"/>
    <w:rsid w:val="009D0DB2"/>
    <w:rsid w:val="009D3937"/>
    <w:rsid w:val="009D7067"/>
    <w:rsid w:val="009D718A"/>
    <w:rsid w:val="009E30AB"/>
    <w:rsid w:val="009F746C"/>
    <w:rsid w:val="00A02B20"/>
    <w:rsid w:val="00A03D07"/>
    <w:rsid w:val="00A056E6"/>
    <w:rsid w:val="00A150B0"/>
    <w:rsid w:val="00A253D0"/>
    <w:rsid w:val="00A3429F"/>
    <w:rsid w:val="00A41308"/>
    <w:rsid w:val="00A4605D"/>
    <w:rsid w:val="00A55D29"/>
    <w:rsid w:val="00A561EE"/>
    <w:rsid w:val="00A6561C"/>
    <w:rsid w:val="00A728C4"/>
    <w:rsid w:val="00A75A2B"/>
    <w:rsid w:val="00A7669B"/>
    <w:rsid w:val="00A81EEE"/>
    <w:rsid w:val="00A82BBD"/>
    <w:rsid w:val="00A87A38"/>
    <w:rsid w:val="00A9109F"/>
    <w:rsid w:val="00A95748"/>
    <w:rsid w:val="00AA6753"/>
    <w:rsid w:val="00AA7510"/>
    <w:rsid w:val="00AC20AC"/>
    <w:rsid w:val="00AC7192"/>
    <w:rsid w:val="00AD43A5"/>
    <w:rsid w:val="00AF4EA3"/>
    <w:rsid w:val="00AF6074"/>
    <w:rsid w:val="00B01D0D"/>
    <w:rsid w:val="00B027C6"/>
    <w:rsid w:val="00B06169"/>
    <w:rsid w:val="00B10F89"/>
    <w:rsid w:val="00B202DF"/>
    <w:rsid w:val="00B22CBD"/>
    <w:rsid w:val="00B341B0"/>
    <w:rsid w:val="00B37D91"/>
    <w:rsid w:val="00B40B42"/>
    <w:rsid w:val="00B43008"/>
    <w:rsid w:val="00B6292F"/>
    <w:rsid w:val="00B71B9E"/>
    <w:rsid w:val="00B72ABC"/>
    <w:rsid w:val="00B773AA"/>
    <w:rsid w:val="00B8415D"/>
    <w:rsid w:val="00B95104"/>
    <w:rsid w:val="00BA2BD7"/>
    <w:rsid w:val="00BA2FD0"/>
    <w:rsid w:val="00BB37B3"/>
    <w:rsid w:val="00BC49E7"/>
    <w:rsid w:val="00BC5AC2"/>
    <w:rsid w:val="00BD2FD4"/>
    <w:rsid w:val="00BD6A6E"/>
    <w:rsid w:val="00BE114D"/>
    <w:rsid w:val="00BE2296"/>
    <w:rsid w:val="00BE3799"/>
    <w:rsid w:val="00BE73B5"/>
    <w:rsid w:val="00C02E67"/>
    <w:rsid w:val="00C10BE9"/>
    <w:rsid w:val="00C346D7"/>
    <w:rsid w:val="00C405BB"/>
    <w:rsid w:val="00C43A94"/>
    <w:rsid w:val="00C65626"/>
    <w:rsid w:val="00C74594"/>
    <w:rsid w:val="00C802D1"/>
    <w:rsid w:val="00C8253B"/>
    <w:rsid w:val="00C847AE"/>
    <w:rsid w:val="00C929C5"/>
    <w:rsid w:val="00CA1596"/>
    <w:rsid w:val="00CA15CC"/>
    <w:rsid w:val="00CA254B"/>
    <w:rsid w:val="00CA40A1"/>
    <w:rsid w:val="00CA6192"/>
    <w:rsid w:val="00CC7C41"/>
    <w:rsid w:val="00CD1356"/>
    <w:rsid w:val="00CD4018"/>
    <w:rsid w:val="00CD4631"/>
    <w:rsid w:val="00CD5A4B"/>
    <w:rsid w:val="00CD5FA6"/>
    <w:rsid w:val="00CE0B8E"/>
    <w:rsid w:val="00CE6F98"/>
    <w:rsid w:val="00CE7A99"/>
    <w:rsid w:val="00CF1624"/>
    <w:rsid w:val="00CF242F"/>
    <w:rsid w:val="00CF25D1"/>
    <w:rsid w:val="00CF71FB"/>
    <w:rsid w:val="00D008F0"/>
    <w:rsid w:val="00D00F34"/>
    <w:rsid w:val="00D06122"/>
    <w:rsid w:val="00D10E63"/>
    <w:rsid w:val="00D3646E"/>
    <w:rsid w:val="00D4505D"/>
    <w:rsid w:val="00D50016"/>
    <w:rsid w:val="00D52052"/>
    <w:rsid w:val="00D53A42"/>
    <w:rsid w:val="00D57AB5"/>
    <w:rsid w:val="00D62E0E"/>
    <w:rsid w:val="00D67A8A"/>
    <w:rsid w:val="00D81504"/>
    <w:rsid w:val="00D86A65"/>
    <w:rsid w:val="00D87FB4"/>
    <w:rsid w:val="00D91BC1"/>
    <w:rsid w:val="00D93FAA"/>
    <w:rsid w:val="00D97C27"/>
    <w:rsid w:val="00DB7CCC"/>
    <w:rsid w:val="00DC4F9E"/>
    <w:rsid w:val="00DD2E6C"/>
    <w:rsid w:val="00DD3620"/>
    <w:rsid w:val="00DE7197"/>
    <w:rsid w:val="00DF0166"/>
    <w:rsid w:val="00E013F5"/>
    <w:rsid w:val="00E01CF9"/>
    <w:rsid w:val="00E14824"/>
    <w:rsid w:val="00E2124D"/>
    <w:rsid w:val="00E255DE"/>
    <w:rsid w:val="00E32D60"/>
    <w:rsid w:val="00E377F1"/>
    <w:rsid w:val="00E41E34"/>
    <w:rsid w:val="00E43C61"/>
    <w:rsid w:val="00E63243"/>
    <w:rsid w:val="00E641D9"/>
    <w:rsid w:val="00E94325"/>
    <w:rsid w:val="00E9679F"/>
    <w:rsid w:val="00EA14DA"/>
    <w:rsid w:val="00EB184C"/>
    <w:rsid w:val="00EB6303"/>
    <w:rsid w:val="00EC189A"/>
    <w:rsid w:val="00EC4159"/>
    <w:rsid w:val="00ED2447"/>
    <w:rsid w:val="00EE2889"/>
    <w:rsid w:val="00EE340A"/>
    <w:rsid w:val="00EF0F2F"/>
    <w:rsid w:val="00EF3A3C"/>
    <w:rsid w:val="00F14E66"/>
    <w:rsid w:val="00F32FEE"/>
    <w:rsid w:val="00F4337F"/>
    <w:rsid w:val="00F44430"/>
    <w:rsid w:val="00F44A79"/>
    <w:rsid w:val="00F4507B"/>
    <w:rsid w:val="00F519B5"/>
    <w:rsid w:val="00F52749"/>
    <w:rsid w:val="00F536AB"/>
    <w:rsid w:val="00F77771"/>
    <w:rsid w:val="00F803FD"/>
    <w:rsid w:val="00F83D7E"/>
    <w:rsid w:val="00F904BA"/>
    <w:rsid w:val="00F928C0"/>
    <w:rsid w:val="00FA392B"/>
    <w:rsid w:val="00FA7254"/>
    <w:rsid w:val="00FA7F29"/>
    <w:rsid w:val="00FB19FC"/>
    <w:rsid w:val="00FB37F0"/>
    <w:rsid w:val="00FB78F2"/>
    <w:rsid w:val="00FC20F6"/>
    <w:rsid w:val="00FC4722"/>
    <w:rsid w:val="00FD09CC"/>
    <w:rsid w:val="00FF28BF"/>
    <w:rsid w:val="04EF241F"/>
    <w:rsid w:val="06585CE2"/>
    <w:rsid w:val="0B536402"/>
    <w:rsid w:val="0FFECA27"/>
    <w:rsid w:val="1048012A"/>
    <w:rsid w:val="10DDF668"/>
    <w:rsid w:val="150CEE46"/>
    <w:rsid w:val="17D66B84"/>
    <w:rsid w:val="185E08FC"/>
    <w:rsid w:val="20FD7060"/>
    <w:rsid w:val="216DEE70"/>
    <w:rsid w:val="21CC3BEF"/>
    <w:rsid w:val="23234677"/>
    <w:rsid w:val="23C456DD"/>
    <w:rsid w:val="27B4D896"/>
    <w:rsid w:val="28C3A0EA"/>
    <w:rsid w:val="2DEF735C"/>
    <w:rsid w:val="2E2B3E9F"/>
    <w:rsid w:val="2F639024"/>
    <w:rsid w:val="3298AD06"/>
    <w:rsid w:val="32CA09DB"/>
    <w:rsid w:val="353006CB"/>
    <w:rsid w:val="354F170B"/>
    <w:rsid w:val="358BE3AA"/>
    <w:rsid w:val="369EC0B8"/>
    <w:rsid w:val="3920BA9E"/>
    <w:rsid w:val="3AF11783"/>
    <w:rsid w:val="3E8D24A9"/>
    <w:rsid w:val="3ED11EED"/>
    <w:rsid w:val="4109855D"/>
    <w:rsid w:val="42081AA7"/>
    <w:rsid w:val="4813A0CA"/>
    <w:rsid w:val="4A5F7E73"/>
    <w:rsid w:val="4D4347CE"/>
    <w:rsid w:val="54CBA5CA"/>
    <w:rsid w:val="5703C116"/>
    <w:rsid w:val="58288895"/>
    <w:rsid w:val="58A6B7A8"/>
    <w:rsid w:val="5955063C"/>
    <w:rsid w:val="5B614BF3"/>
    <w:rsid w:val="5E681ED6"/>
    <w:rsid w:val="607877DA"/>
    <w:rsid w:val="607C8B63"/>
    <w:rsid w:val="63131429"/>
    <w:rsid w:val="645543CF"/>
    <w:rsid w:val="6C0039A5"/>
    <w:rsid w:val="6C1E1BDB"/>
    <w:rsid w:val="6E4410F1"/>
    <w:rsid w:val="716ED1E3"/>
    <w:rsid w:val="75A632F0"/>
    <w:rsid w:val="7E0BF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924A"/>
  <w15:docId w15:val="{75641584-3687-4AD9-B592-B0D1E44B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275"/>
    <w:pPr>
      <w:spacing w:after="0" w:line="360" w:lineRule="auto"/>
    </w:pPr>
    <w:rPr>
      <w:rFonts w:eastAsiaTheme="minorEastAsia" w:cstheme="minorHAnsi"/>
      <w:color w:val="000000" w:themeColor="text1"/>
      <w:sz w:val="24"/>
      <w:szCs w:val="24"/>
    </w:rPr>
  </w:style>
  <w:style w:type="paragraph" w:styleId="Heading1">
    <w:name w:val="heading 1"/>
    <w:basedOn w:val="Normal"/>
    <w:next w:val="Normal"/>
    <w:link w:val="Heading1Char"/>
    <w:uiPriority w:val="9"/>
    <w:qFormat/>
    <w:rsid w:val="003472A7"/>
    <w:pPr>
      <w:spacing w:line="240" w:lineRule="auto"/>
      <w:outlineLvl w:val="0"/>
    </w:pPr>
    <w:rPr>
      <w:rFonts w:ascii="Museo Slab 500" w:hAnsi="Museo Slab 500" w:cs="Lao MN"/>
      <w:color w:val="001970"/>
      <w:sz w:val="44"/>
      <w:szCs w:val="44"/>
    </w:rPr>
  </w:style>
  <w:style w:type="paragraph" w:styleId="Heading2">
    <w:name w:val="heading 2"/>
    <w:basedOn w:val="Normal1"/>
    <w:next w:val="Normal"/>
    <w:link w:val="Heading2Char"/>
    <w:uiPriority w:val="9"/>
    <w:unhideWhenUsed/>
    <w:qFormat/>
    <w:rsid w:val="00CD5FA6"/>
    <w:pPr>
      <w:spacing w:line="360" w:lineRule="auto"/>
      <w:outlineLvl w:val="1"/>
    </w:pPr>
    <w:rPr>
      <w:rFonts w:ascii="Trebuchet MS" w:eastAsiaTheme="minorEastAsia" w:hAnsi="Trebuchet MS" w:cstheme="minorHAnsi"/>
      <w:b/>
      <w:color w:val="001970"/>
      <w:sz w:val="24"/>
      <w:szCs w:val="24"/>
      <w:lang w:val="en-US"/>
    </w:rPr>
  </w:style>
  <w:style w:type="paragraph" w:styleId="Heading3">
    <w:name w:val="heading 3"/>
    <w:basedOn w:val="Normal"/>
    <w:next w:val="Normal"/>
    <w:link w:val="Heading3Char"/>
    <w:uiPriority w:val="9"/>
    <w:unhideWhenUsed/>
    <w:qFormat/>
    <w:rsid w:val="00D87FB4"/>
    <w:pPr>
      <w:keepNext/>
      <w:keepLines/>
      <w:spacing w:before="40"/>
      <w:outlineLvl w:val="2"/>
    </w:pPr>
    <w:rPr>
      <w:rFonts w:eastAsiaTheme="majorEastAsia" w:cstheme="majorBidi"/>
      <w:b/>
      <w:color w:val="000C37" w:themeColor="accent1" w:themeShade="7F"/>
    </w:rPr>
  </w:style>
  <w:style w:type="paragraph" w:styleId="Heading4">
    <w:name w:val="heading 4"/>
    <w:basedOn w:val="Normal"/>
    <w:next w:val="Normal"/>
    <w:link w:val="Heading4Char"/>
    <w:uiPriority w:val="9"/>
    <w:unhideWhenUsed/>
    <w:qFormat/>
    <w:rsid w:val="00E255DE"/>
    <w:pPr>
      <w:keepNext/>
      <w:keepLines/>
      <w:spacing w:before="40"/>
      <w:outlineLvl w:val="3"/>
    </w:pPr>
    <w:rPr>
      <w:rFonts w:asciiTheme="majorHAnsi" w:eastAsiaTheme="majorEastAsia" w:hAnsiTheme="majorHAnsi" w:cstheme="majorBidi"/>
      <w:i/>
      <w:iCs/>
      <w:color w:val="00125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C27"/>
    <w:pPr>
      <w:ind w:left="720"/>
      <w:contextualSpacing/>
    </w:pPr>
  </w:style>
  <w:style w:type="table" w:styleId="TableGrid">
    <w:name w:val="Table Grid"/>
    <w:basedOn w:val="TableNormal"/>
    <w:uiPriority w:val="59"/>
    <w:rsid w:val="00D97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FB4"/>
    <w:pPr>
      <w:tabs>
        <w:tab w:val="center" w:pos="4680"/>
        <w:tab w:val="right" w:pos="9360"/>
      </w:tabs>
    </w:pPr>
    <w:rPr>
      <w:sz w:val="20"/>
    </w:rPr>
  </w:style>
  <w:style w:type="character" w:customStyle="1" w:styleId="HeaderChar">
    <w:name w:val="Header Char"/>
    <w:basedOn w:val="DefaultParagraphFont"/>
    <w:link w:val="Header"/>
    <w:uiPriority w:val="99"/>
    <w:rsid w:val="00D87FB4"/>
    <w:rPr>
      <w:rFonts w:eastAsiaTheme="minorEastAsia" w:cstheme="minorHAnsi"/>
      <w:color w:val="000000" w:themeColor="text1"/>
      <w:sz w:val="20"/>
      <w:szCs w:val="24"/>
    </w:rPr>
  </w:style>
  <w:style w:type="paragraph" w:styleId="Footer">
    <w:name w:val="footer"/>
    <w:basedOn w:val="Normal"/>
    <w:link w:val="FooterChar"/>
    <w:uiPriority w:val="99"/>
    <w:unhideWhenUsed/>
    <w:rsid w:val="00D87FB4"/>
    <w:pPr>
      <w:tabs>
        <w:tab w:val="center" w:pos="4680"/>
        <w:tab w:val="right" w:pos="9360"/>
      </w:tabs>
    </w:pPr>
    <w:rPr>
      <w:sz w:val="20"/>
    </w:rPr>
  </w:style>
  <w:style w:type="character" w:customStyle="1" w:styleId="FooterChar">
    <w:name w:val="Footer Char"/>
    <w:basedOn w:val="DefaultParagraphFont"/>
    <w:link w:val="Footer"/>
    <w:uiPriority w:val="99"/>
    <w:rsid w:val="00D87FB4"/>
    <w:rPr>
      <w:rFonts w:eastAsiaTheme="minorEastAsia" w:cstheme="minorHAnsi"/>
      <w:color w:val="000000" w:themeColor="text1"/>
      <w:sz w:val="20"/>
      <w:szCs w:val="24"/>
    </w:rPr>
  </w:style>
  <w:style w:type="paragraph" w:styleId="BalloonText">
    <w:name w:val="Balloon Text"/>
    <w:basedOn w:val="Normal"/>
    <w:link w:val="BalloonTextChar"/>
    <w:uiPriority w:val="99"/>
    <w:semiHidden/>
    <w:unhideWhenUsed/>
    <w:rsid w:val="00DB7CCC"/>
    <w:rPr>
      <w:sz w:val="26"/>
      <w:szCs w:val="26"/>
    </w:rPr>
  </w:style>
  <w:style w:type="character" w:customStyle="1" w:styleId="BalloonTextChar">
    <w:name w:val="Balloon Text Char"/>
    <w:basedOn w:val="DefaultParagraphFont"/>
    <w:link w:val="BalloonText"/>
    <w:uiPriority w:val="99"/>
    <w:semiHidden/>
    <w:rsid w:val="00DB7CCC"/>
    <w:rPr>
      <w:rFonts w:ascii="Times New Roman" w:eastAsiaTheme="minorEastAsia" w:hAnsi="Times New Roman" w:cs="Times New Roman"/>
      <w:sz w:val="26"/>
      <w:szCs w:val="26"/>
    </w:rPr>
  </w:style>
  <w:style w:type="character" w:customStyle="1" w:styleId="Heading3Char">
    <w:name w:val="Heading 3 Char"/>
    <w:basedOn w:val="DefaultParagraphFont"/>
    <w:link w:val="Heading3"/>
    <w:uiPriority w:val="9"/>
    <w:rsid w:val="00D87FB4"/>
    <w:rPr>
      <w:rFonts w:eastAsiaTheme="majorEastAsia" w:cstheme="majorBidi"/>
      <w:b/>
      <w:color w:val="000C37" w:themeColor="accent1" w:themeShade="7F"/>
      <w:sz w:val="24"/>
      <w:szCs w:val="24"/>
    </w:rPr>
  </w:style>
  <w:style w:type="paragraph" w:customStyle="1" w:styleId="BasicParagraph">
    <w:name w:val="[Basic Paragraph]"/>
    <w:basedOn w:val="Normal"/>
    <w:uiPriority w:val="99"/>
    <w:rsid w:val="0002560C"/>
    <w:pPr>
      <w:suppressAutoHyphens/>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customStyle="1" w:styleId="Normal1">
    <w:name w:val="Normal1"/>
    <w:rsid w:val="00F928C0"/>
    <w:pPr>
      <w:spacing w:after="0"/>
    </w:pPr>
    <w:rPr>
      <w:rFonts w:ascii="Arial" w:eastAsia="Arial" w:hAnsi="Arial" w:cs="Arial"/>
      <w:color w:val="000000"/>
      <w:lang w:val="en"/>
    </w:rPr>
  </w:style>
  <w:style w:type="character" w:customStyle="1" w:styleId="Heading1Char">
    <w:name w:val="Heading 1 Char"/>
    <w:basedOn w:val="DefaultParagraphFont"/>
    <w:link w:val="Heading1"/>
    <w:uiPriority w:val="9"/>
    <w:rsid w:val="003472A7"/>
    <w:rPr>
      <w:rFonts w:ascii="Museo Slab 500" w:eastAsiaTheme="minorEastAsia" w:hAnsi="Museo Slab 500" w:cs="Lao MN"/>
      <w:color w:val="001970"/>
      <w:sz w:val="44"/>
      <w:szCs w:val="44"/>
    </w:rPr>
  </w:style>
  <w:style w:type="character" w:customStyle="1" w:styleId="Heading2Char">
    <w:name w:val="Heading 2 Char"/>
    <w:basedOn w:val="DefaultParagraphFont"/>
    <w:link w:val="Heading2"/>
    <w:uiPriority w:val="9"/>
    <w:rsid w:val="00CD5FA6"/>
    <w:rPr>
      <w:rFonts w:ascii="Trebuchet MS" w:eastAsiaTheme="minorEastAsia" w:hAnsi="Trebuchet MS" w:cstheme="minorHAnsi"/>
      <w:b/>
      <w:color w:val="001970"/>
      <w:sz w:val="24"/>
      <w:szCs w:val="24"/>
    </w:rPr>
  </w:style>
  <w:style w:type="paragraph" w:customStyle="1" w:styleId="BorderDivider">
    <w:name w:val="Border Divider"/>
    <w:basedOn w:val="Normal"/>
    <w:qFormat/>
    <w:rsid w:val="00385275"/>
    <w:pPr>
      <w:pBdr>
        <w:bottom w:val="single" w:sz="4" w:space="1" w:color="808080" w:themeColor="background1" w:themeShade="80"/>
      </w:pBdr>
    </w:pPr>
  </w:style>
  <w:style w:type="character" w:styleId="SmartLink">
    <w:name w:val="Smart Link"/>
    <w:basedOn w:val="SmartHyperlink"/>
    <w:uiPriority w:val="99"/>
    <w:rsid w:val="00D87FB4"/>
    <w:rPr>
      <w:color w:val="0070C0"/>
      <w:u w:val="single"/>
    </w:rPr>
  </w:style>
  <w:style w:type="character" w:styleId="SmartHyperlink">
    <w:name w:val="Smart Hyperlink"/>
    <w:basedOn w:val="DefaultParagraphFont"/>
    <w:uiPriority w:val="99"/>
    <w:semiHidden/>
    <w:unhideWhenUsed/>
    <w:rsid w:val="00D87FB4"/>
    <w:rPr>
      <w:u w:val="dotted"/>
    </w:rPr>
  </w:style>
  <w:style w:type="table" w:styleId="ListTable4-Accent2">
    <w:name w:val="List Table 4 Accent 2"/>
    <w:aliases w:val="DHE List Table 4 - Accent 2"/>
    <w:basedOn w:val="TableNormal"/>
    <w:uiPriority w:val="49"/>
    <w:rsid w:val="00D62E0E"/>
    <w:pPr>
      <w:spacing w:after="0" w:line="240" w:lineRule="auto"/>
      <w:jc w:val="center"/>
    </w:pPr>
    <w:rPr>
      <w:sz w:val="24"/>
      <w:szCs w:val="24"/>
    </w:rPr>
    <w:tblPr>
      <w:tblStyleRowBandSize w:val="1"/>
      <w:tblStyleColBandSize w:val="1"/>
      <w:tblBorders>
        <w:top w:val="single" w:sz="4" w:space="0" w:color="D0D2D3" w:themeColor="background2"/>
        <w:bottom w:val="single" w:sz="4" w:space="0" w:color="D0D2D3" w:themeColor="background2"/>
        <w:insideH w:val="single" w:sz="4" w:space="0" w:color="D0D2D3" w:themeColor="background2"/>
        <w:insideV w:val="single" w:sz="4" w:space="0" w:color="D0D2D3" w:themeColor="background2"/>
      </w:tblBorders>
    </w:tblPr>
    <w:tcPr>
      <w:shd w:val="clear" w:color="auto" w:fill="auto"/>
      <w:vAlign w:val="center"/>
    </w:tcPr>
    <w:tblStylePr w:type="firstRow">
      <w:pPr>
        <w:jc w:val="center"/>
      </w:pPr>
      <w:rPr>
        <w:rFonts w:asciiTheme="majorHAnsi" w:hAnsiTheme="majorHAnsi"/>
        <w:b/>
        <w:bCs/>
        <w:color w:val="FFFFFF" w:themeColor="background1"/>
        <w:sz w:val="22"/>
      </w:rPr>
      <w:tblPr/>
      <w:tcPr>
        <w:tcBorders>
          <w:top w:val="nil"/>
          <w:left w:val="nil"/>
          <w:bottom w:val="nil"/>
          <w:right w:val="nil"/>
          <w:insideH w:val="nil"/>
        </w:tcBorders>
        <w:shd w:val="clear" w:color="auto" w:fill="407CCA" w:themeFill="accent2"/>
      </w:tcPr>
    </w:tblStylePr>
    <w:tblStylePr w:type="lastRow">
      <w:rPr>
        <w:b/>
        <w:bCs/>
      </w:rPr>
      <w:tblPr/>
      <w:tcPr>
        <w:tcBorders>
          <w:bottom w:val="single" w:sz="8" w:space="0" w:color="D0D2D3" w:themeColor="background2"/>
        </w:tcBorders>
        <w:shd w:val="clear" w:color="auto" w:fill="D8E4F4" w:themeFill="accent2" w:themeFillTint="33"/>
      </w:tcPr>
    </w:tblStylePr>
    <w:tblStylePr w:type="firstCol">
      <w:pPr>
        <w:jc w:val="left"/>
      </w:pPr>
      <w:rPr>
        <w:b/>
        <w:bCs/>
      </w:rPr>
    </w:tblStylePr>
    <w:tblStylePr w:type="lastCol">
      <w:rPr>
        <w:b/>
        <w:bCs/>
      </w:rPr>
    </w:tblStylePr>
    <w:tblStylePr w:type="band1Horz">
      <w:rPr>
        <w:rFonts w:asciiTheme="minorHAnsi" w:hAnsiTheme="minorHAnsi"/>
        <w:sz w:val="20"/>
      </w:rPr>
    </w:tblStylePr>
    <w:tblStylePr w:type="band2Horz">
      <w:rPr>
        <w:rFonts w:asciiTheme="minorHAnsi" w:hAnsiTheme="minorHAnsi"/>
        <w:sz w:val="20"/>
      </w:rPr>
    </w:tblStylePr>
  </w:style>
  <w:style w:type="paragraph" w:styleId="NormalWeb">
    <w:name w:val="Normal (Web)"/>
    <w:basedOn w:val="Normal"/>
    <w:uiPriority w:val="99"/>
    <w:semiHidden/>
    <w:unhideWhenUsed/>
    <w:rsid w:val="006C35A4"/>
    <w:pPr>
      <w:spacing w:before="100" w:beforeAutospacing="1" w:after="100" w:afterAutospacing="1" w:line="240" w:lineRule="auto"/>
    </w:pPr>
    <w:rPr>
      <w:rFonts w:ascii="Times New Roman" w:eastAsia="Times New Roman" w:hAnsi="Times New Roman" w:cs="Times New Roman"/>
      <w:color w:val="auto"/>
    </w:rPr>
  </w:style>
  <w:style w:type="character" w:styleId="CommentReference">
    <w:name w:val="annotation reference"/>
    <w:basedOn w:val="DefaultParagraphFont"/>
    <w:uiPriority w:val="99"/>
    <w:semiHidden/>
    <w:unhideWhenUsed/>
    <w:rsid w:val="00AA7510"/>
    <w:rPr>
      <w:sz w:val="16"/>
      <w:szCs w:val="16"/>
    </w:rPr>
  </w:style>
  <w:style w:type="paragraph" w:styleId="CommentText">
    <w:name w:val="annotation text"/>
    <w:basedOn w:val="Normal"/>
    <w:link w:val="CommentTextChar"/>
    <w:uiPriority w:val="99"/>
    <w:unhideWhenUsed/>
    <w:rsid w:val="00AA7510"/>
    <w:pPr>
      <w:spacing w:line="240" w:lineRule="auto"/>
    </w:pPr>
    <w:rPr>
      <w:sz w:val="20"/>
      <w:szCs w:val="20"/>
    </w:rPr>
  </w:style>
  <w:style w:type="character" w:customStyle="1" w:styleId="CommentTextChar">
    <w:name w:val="Comment Text Char"/>
    <w:basedOn w:val="DefaultParagraphFont"/>
    <w:link w:val="CommentText"/>
    <w:uiPriority w:val="99"/>
    <w:rsid w:val="00AA7510"/>
    <w:rPr>
      <w:rFonts w:eastAsiaTheme="minorEastAsia" w:cstheme="minorHAns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A7510"/>
    <w:rPr>
      <w:b/>
      <w:bCs/>
    </w:rPr>
  </w:style>
  <w:style w:type="character" w:customStyle="1" w:styleId="CommentSubjectChar">
    <w:name w:val="Comment Subject Char"/>
    <w:basedOn w:val="CommentTextChar"/>
    <w:link w:val="CommentSubject"/>
    <w:uiPriority w:val="99"/>
    <w:semiHidden/>
    <w:rsid w:val="00AA7510"/>
    <w:rPr>
      <w:rFonts w:eastAsiaTheme="minorEastAsia" w:cstheme="minorHAnsi"/>
      <w:b/>
      <w:bCs/>
      <w:color w:val="000000" w:themeColor="text1"/>
      <w:sz w:val="20"/>
      <w:szCs w:val="20"/>
    </w:rPr>
  </w:style>
  <w:style w:type="paragraph" w:styleId="Revision">
    <w:name w:val="Revision"/>
    <w:hidden/>
    <w:uiPriority w:val="99"/>
    <w:semiHidden/>
    <w:rsid w:val="00B40B42"/>
    <w:pPr>
      <w:spacing w:after="0" w:line="240" w:lineRule="auto"/>
    </w:pPr>
    <w:rPr>
      <w:rFonts w:eastAsiaTheme="minorEastAsia" w:cstheme="minorHAnsi"/>
      <w:color w:val="000000" w:themeColor="text1"/>
      <w:sz w:val="24"/>
      <w:szCs w:val="24"/>
    </w:rPr>
  </w:style>
  <w:style w:type="character" w:customStyle="1" w:styleId="Heading4Char">
    <w:name w:val="Heading 4 Char"/>
    <w:basedOn w:val="DefaultParagraphFont"/>
    <w:link w:val="Heading4"/>
    <w:uiPriority w:val="9"/>
    <w:rsid w:val="00E255DE"/>
    <w:rPr>
      <w:rFonts w:asciiTheme="majorHAnsi" w:eastAsiaTheme="majorEastAsia" w:hAnsiTheme="majorHAnsi" w:cstheme="majorBidi"/>
      <w:i/>
      <w:iCs/>
      <w:color w:val="001253" w:themeColor="accent1" w:themeShade="BF"/>
      <w:sz w:val="24"/>
      <w:szCs w:val="24"/>
    </w:rPr>
  </w:style>
  <w:style w:type="paragraph" w:styleId="Title">
    <w:name w:val="Title"/>
    <w:basedOn w:val="Normal"/>
    <w:next w:val="Normal"/>
    <w:link w:val="TitleChar"/>
    <w:uiPriority w:val="10"/>
    <w:qFormat/>
    <w:rsid w:val="002639FF"/>
    <w:pPr>
      <w:pBdr>
        <w:bottom w:val="single" w:sz="8" w:space="4" w:color="001970" w:themeColor="accent1"/>
      </w:pBdr>
      <w:spacing w:after="300" w:line="240" w:lineRule="auto"/>
      <w:contextualSpacing/>
    </w:pPr>
    <w:rPr>
      <w:rFonts w:asciiTheme="majorHAnsi" w:eastAsiaTheme="majorEastAsia" w:hAnsiTheme="majorHAnsi" w:cstheme="majorBidi"/>
      <w:color w:val="454C53" w:themeColor="text2" w:themeShade="BF"/>
      <w:spacing w:val="5"/>
      <w:kern w:val="28"/>
      <w:sz w:val="52"/>
      <w:szCs w:val="52"/>
    </w:rPr>
  </w:style>
  <w:style w:type="character" w:customStyle="1" w:styleId="TitleChar">
    <w:name w:val="Title Char"/>
    <w:basedOn w:val="DefaultParagraphFont"/>
    <w:link w:val="Title"/>
    <w:uiPriority w:val="10"/>
    <w:rsid w:val="002639FF"/>
    <w:rPr>
      <w:rFonts w:asciiTheme="majorHAnsi" w:eastAsiaTheme="majorEastAsia" w:hAnsiTheme="majorHAnsi" w:cstheme="majorBidi"/>
      <w:color w:val="454C53" w:themeColor="text2" w:themeShade="BF"/>
      <w:spacing w:val="5"/>
      <w:kern w:val="28"/>
      <w:sz w:val="52"/>
      <w:szCs w:val="52"/>
    </w:rPr>
  </w:style>
  <w:style w:type="paragraph" w:styleId="Subtitle">
    <w:name w:val="Subtitle"/>
    <w:basedOn w:val="Normal"/>
    <w:next w:val="Normal"/>
    <w:link w:val="SubtitleChar"/>
    <w:uiPriority w:val="11"/>
    <w:qFormat/>
    <w:rsid w:val="002639FF"/>
    <w:pPr>
      <w:numPr>
        <w:ilvl w:val="1"/>
      </w:numPr>
      <w:spacing w:after="200" w:line="276" w:lineRule="auto"/>
    </w:pPr>
    <w:rPr>
      <w:rFonts w:asciiTheme="majorHAnsi" w:eastAsiaTheme="majorEastAsia" w:hAnsiTheme="majorHAnsi" w:cstheme="majorBidi"/>
      <w:i/>
      <w:iCs/>
      <w:color w:val="001970" w:themeColor="accent1"/>
      <w:spacing w:val="15"/>
    </w:rPr>
  </w:style>
  <w:style w:type="character" w:customStyle="1" w:styleId="SubtitleChar">
    <w:name w:val="Subtitle Char"/>
    <w:basedOn w:val="DefaultParagraphFont"/>
    <w:link w:val="Subtitle"/>
    <w:uiPriority w:val="11"/>
    <w:rsid w:val="002639FF"/>
    <w:rPr>
      <w:rFonts w:asciiTheme="majorHAnsi" w:eastAsiaTheme="majorEastAsia" w:hAnsiTheme="majorHAnsi" w:cstheme="majorBidi"/>
      <w:i/>
      <w:iCs/>
      <w:color w:val="001970" w:themeColor="accent1"/>
      <w:spacing w:val="15"/>
      <w:sz w:val="24"/>
      <w:szCs w:val="24"/>
    </w:rPr>
  </w:style>
  <w:style w:type="paragraph" w:styleId="ListBullet">
    <w:name w:val="List Bullet"/>
    <w:basedOn w:val="Normal"/>
    <w:uiPriority w:val="99"/>
    <w:unhideWhenUsed/>
    <w:rsid w:val="002639FF"/>
    <w:pPr>
      <w:numPr>
        <w:numId w:val="18"/>
      </w:numPr>
      <w:tabs>
        <w:tab w:val="clear" w:pos="360"/>
      </w:tabs>
      <w:spacing w:after="200" w:line="276" w:lineRule="auto"/>
      <w:ind w:left="0" w:firstLine="0"/>
      <w:contextualSpacing/>
    </w:pPr>
    <w:rPr>
      <w:rFonts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767835">
      <w:bodyDiv w:val="1"/>
      <w:marLeft w:val="0"/>
      <w:marRight w:val="0"/>
      <w:marTop w:val="0"/>
      <w:marBottom w:val="0"/>
      <w:divBdr>
        <w:top w:val="none" w:sz="0" w:space="0" w:color="auto"/>
        <w:left w:val="none" w:sz="0" w:space="0" w:color="auto"/>
        <w:bottom w:val="none" w:sz="0" w:space="0" w:color="auto"/>
        <w:right w:val="none" w:sz="0" w:space="0" w:color="auto"/>
      </w:divBdr>
      <w:divsChild>
        <w:div w:id="1223711679">
          <w:marLeft w:val="1267"/>
          <w:marRight w:val="0"/>
          <w:marTop w:val="100"/>
          <w:marBottom w:val="0"/>
          <w:divBdr>
            <w:top w:val="none" w:sz="0" w:space="0" w:color="auto"/>
            <w:left w:val="none" w:sz="0" w:space="0" w:color="auto"/>
            <w:bottom w:val="none" w:sz="0" w:space="0" w:color="auto"/>
            <w:right w:val="none" w:sz="0" w:space="0" w:color="auto"/>
          </w:divBdr>
        </w:div>
        <w:div w:id="1791245234">
          <w:marLeft w:val="1267"/>
          <w:marRight w:val="0"/>
          <w:marTop w:val="100"/>
          <w:marBottom w:val="0"/>
          <w:divBdr>
            <w:top w:val="none" w:sz="0" w:space="0" w:color="auto"/>
            <w:left w:val="none" w:sz="0" w:space="0" w:color="auto"/>
            <w:bottom w:val="none" w:sz="0" w:space="0" w:color="auto"/>
            <w:right w:val="none" w:sz="0" w:space="0" w:color="auto"/>
          </w:divBdr>
        </w:div>
        <w:div w:id="549267707">
          <w:marLeft w:val="1267"/>
          <w:marRight w:val="0"/>
          <w:marTop w:val="100"/>
          <w:marBottom w:val="0"/>
          <w:divBdr>
            <w:top w:val="none" w:sz="0" w:space="0" w:color="auto"/>
            <w:left w:val="none" w:sz="0" w:space="0" w:color="auto"/>
            <w:bottom w:val="none" w:sz="0" w:space="0" w:color="auto"/>
            <w:right w:val="none" w:sz="0" w:space="0" w:color="auto"/>
          </w:divBdr>
        </w:div>
      </w:divsChild>
    </w:div>
    <w:div w:id="1370837448">
      <w:bodyDiv w:val="1"/>
      <w:marLeft w:val="0"/>
      <w:marRight w:val="0"/>
      <w:marTop w:val="0"/>
      <w:marBottom w:val="0"/>
      <w:divBdr>
        <w:top w:val="none" w:sz="0" w:space="0" w:color="auto"/>
        <w:left w:val="none" w:sz="0" w:space="0" w:color="auto"/>
        <w:bottom w:val="none" w:sz="0" w:space="0" w:color="auto"/>
        <w:right w:val="none" w:sz="0" w:space="0" w:color="auto"/>
      </w:divBdr>
      <w:divsChild>
        <w:div w:id="2073575506">
          <w:marLeft w:val="547"/>
          <w:marRight w:val="0"/>
          <w:marTop w:val="200"/>
          <w:marBottom w:val="0"/>
          <w:divBdr>
            <w:top w:val="none" w:sz="0" w:space="0" w:color="auto"/>
            <w:left w:val="none" w:sz="0" w:space="0" w:color="auto"/>
            <w:bottom w:val="none" w:sz="0" w:space="0" w:color="auto"/>
            <w:right w:val="none" w:sz="0" w:space="0" w:color="auto"/>
          </w:divBdr>
        </w:div>
        <w:div w:id="787507926">
          <w:marLeft w:val="1267"/>
          <w:marRight w:val="0"/>
          <w:marTop w:val="100"/>
          <w:marBottom w:val="0"/>
          <w:divBdr>
            <w:top w:val="none" w:sz="0" w:space="0" w:color="auto"/>
            <w:left w:val="none" w:sz="0" w:space="0" w:color="auto"/>
            <w:bottom w:val="none" w:sz="0" w:space="0" w:color="auto"/>
            <w:right w:val="none" w:sz="0" w:space="0" w:color="auto"/>
          </w:divBdr>
        </w:div>
        <w:div w:id="2007510825">
          <w:marLeft w:val="547"/>
          <w:marRight w:val="0"/>
          <w:marTop w:val="200"/>
          <w:marBottom w:val="0"/>
          <w:divBdr>
            <w:top w:val="none" w:sz="0" w:space="0" w:color="auto"/>
            <w:left w:val="none" w:sz="0" w:space="0" w:color="auto"/>
            <w:bottom w:val="none" w:sz="0" w:space="0" w:color="auto"/>
            <w:right w:val="none" w:sz="0" w:space="0" w:color="auto"/>
          </w:divBdr>
        </w:div>
        <w:div w:id="20396686">
          <w:marLeft w:val="1267"/>
          <w:marRight w:val="0"/>
          <w:marTop w:val="100"/>
          <w:marBottom w:val="0"/>
          <w:divBdr>
            <w:top w:val="none" w:sz="0" w:space="0" w:color="auto"/>
            <w:left w:val="none" w:sz="0" w:space="0" w:color="auto"/>
            <w:bottom w:val="none" w:sz="0" w:space="0" w:color="auto"/>
            <w:right w:val="none" w:sz="0" w:space="0" w:color="auto"/>
          </w:divBdr>
        </w:div>
        <w:div w:id="1126045982">
          <w:marLeft w:val="1267"/>
          <w:marRight w:val="0"/>
          <w:marTop w:val="100"/>
          <w:marBottom w:val="0"/>
          <w:divBdr>
            <w:top w:val="none" w:sz="0" w:space="0" w:color="auto"/>
            <w:left w:val="none" w:sz="0" w:space="0" w:color="auto"/>
            <w:bottom w:val="none" w:sz="0" w:space="0" w:color="auto"/>
            <w:right w:val="none" w:sz="0" w:space="0" w:color="auto"/>
          </w:divBdr>
        </w:div>
        <w:div w:id="678846830">
          <w:marLeft w:val="1267"/>
          <w:marRight w:val="0"/>
          <w:marTop w:val="100"/>
          <w:marBottom w:val="0"/>
          <w:divBdr>
            <w:top w:val="none" w:sz="0" w:space="0" w:color="auto"/>
            <w:left w:val="none" w:sz="0" w:space="0" w:color="auto"/>
            <w:bottom w:val="none" w:sz="0" w:space="0" w:color="auto"/>
            <w:right w:val="none" w:sz="0" w:space="0" w:color="auto"/>
          </w:divBdr>
        </w:div>
        <w:div w:id="1143038381">
          <w:marLeft w:val="1267"/>
          <w:marRight w:val="0"/>
          <w:marTop w:val="100"/>
          <w:marBottom w:val="0"/>
          <w:divBdr>
            <w:top w:val="none" w:sz="0" w:space="0" w:color="auto"/>
            <w:left w:val="none" w:sz="0" w:space="0" w:color="auto"/>
            <w:bottom w:val="none" w:sz="0" w:space="0" w:color="auto"/>
            <w:right w:val="none" w:sz="0" w:space="0" w:color="auto"/>
          </w:divBdr>
        </w:div>
        <w:div w:id="1137141621">
          <w:marLeft w:val="547"/>
          <w:marRight w:val="0"/>
          <w:marTop w:val="200"/>
          <w:marBottom w:val="0"/>
          <w:divBdr>
            <w:top w:val="none" w:sz="0" w:space="0" w:color="auto"/>
            <w:left w:val="none" w:sz="0" w:space="0" w:color="auto"/>
            <w:bottom w:val="none" w:sz="0" w:space="0" w:color="auto"/>
            <w:right w:val="none" w:sz="0" w:space="0" w:color="auto"/>
          </w:divBdr>
        </w:div>
        <w:div w:id="928663670">
          <w:marLeft w:val="1267"/>
          <w:marRight w:val="0"/>
          <w:marTop w:val="100"/>
          <w:marBottom w:val="0"/>
          <w:divBdr>
            <w:top w:val="none" w:sz="0" w:space="0" w:color="auto"/>
            <w:left w:val="none" w:sz="0" w:space="0" w:color="auto"/>
            <w:bottom w:val="none" w:sz="0" w:space="0" w:color="auto"/>
            <w:right w:val="none" w:sz="0" w:space="0" w:color="auto"/>
          </w:divBdr>
        </w:div>
        <w:div w:id="1168331674">
          <w:marLeft w:val="1267"/>
          <w:marRight w:val="0"/>
          <w:marTop w:val="100"/>
          <w:marBottom w:val="0"/>
          <w:divBdr>
            <w:top w:val="none" w:sz="0" w:space="0" w:color="auto"/>
            <w:left w:val="none" w:sz="0" w:space="0" w:color="auto"/>
            <w:bottom w:val="none" w:sz="0" w:space="0" w:color="auto"/>
            <w:right w:val="none" w:sz="0" w:space="0" w:color="auto"/>
          </w:divBdr>
        </w:div>
        <w:div w:id="268046939">
          <w:marLeft w:val="1267"/>
          <w:marRight w:val="0"/>
          <w:marTop w:val="100"/>
          <w:marBottom w:val="0"/>
          <w:divBdr>
            <w:top w:val="none" w:sz="0" w:space="0" w:color="auto"/>
            <w:left w:val="none" w:sz="0" w:space="0" w:color="auto"/>
            <w:bottom w:val="none" w:sz="0" w:space="0" w:color="auto"/>
            <w:right w:val="none" w:sz="0" w:space="0" w:color="auto"/>
          </w:divBdr>
        </w:div>
        <w:div w:id="267811634">
          <w:marLeft w:val="1267"/>
          <w:marRight w:val="0"/>
          <w:marTop w:val="100"/>
          <w:marBottom w:val="0"/>
          <w:divBdr>
            <w:top w:val="none" w:sz="0" w:space="0" w:color="auto"/>
            <w:left w:val="none" w:sz="0" w:space="0" w:color="auto"/>
            <w:bottom w:val="none" w:sz="0" w:space="0" w:color="auto"/>
            <w:right w:val="none" w:sz="0" w:space="0" w:color="auto"/>
          </w:divBdr>
        </w:div>
        <w:div w:id="574707017">
          <w:marLeft w:val="547"/>
          <w:marRight w:val="0"/>
          <w:marTop w:val="200"/>
          <w:marBottom w:val="0"/>
          <w:divBdr>
            <w:top w:val="none" w:sz="0" w:space="0" w:color="auto"/>
            <w:left w:val="none" w:sz="0" w:space="0" w:color="auto"/>
            <w:bottom w:val="none" w:sz="0" w:space="0" w:color="auto"/>
            <w:right w:val="none" w:sz="0" w:space="0" w:color="auto"/>
          </w:divBdr>
        </w:div>
        <w:div w:id="776371691">
          <w:marLeft w:val="1267"/>
          <w:marRight w:val="0"/>
          <w:marTop w:val="100"/>
          <w:marBottom w:val="0"/>
          <w:divBdr>
            <w:top w:val="none" w:sz="0" w:space="0" w:color="auto"/>
            <w:left w:val="none" w:sz="0" w:space="0" w:color="auto"/>
            <w:bottom w:val="none" w:sz="0" w:space="0" w:color="auto"/>
            <w:right w:val="none" w:sz="0" w:space="0" w:color="auto"/>
          </w:divBdr>
        </w:div>
        <w:div w:id="224341172">
          <w:marLeft w:val="1267"/>
          <w:marRight w:val="0"/>
          <w:marTop w:val="100"/>
          <w:marBottom w:val="0"/>
          <w:divBdr>
            <w:top w:val="none" w:sz="0" w:space="0" w:color="auto"/>
            <w:left w:val="none" w:sz="0" w:space="0" w:color="auto"/>
            <w:bottom w:val="none" w:sz="0" w:space="0" w:color="auto"/>
            <w:right w:val="none" w:sz="0" w:space="0" w:color="auto"/>
          </w:divBdr>
        </w:div>
        <w:div w:id="1538590869">
          <w:marLeft w:val="1267"/>
          <w:marRight w:val="0"/>
          <w:marTop w:val="100"/>
          <w:marBottom w:val="0"/>
          <w:divBdr>
            <w:top w:val="none" w:sz="0" w:space="0" w:color="auto"/>
            <w:left w:val="none" w:sz="0" w:space="0" w:color="auto"/>
            <w:bottom w:val="none" w:sz="0" w:space="0" w:color="auto"/>
            <w:right w:val="none" w:sz="0" w:space="0" w:color="auto"/>
          </w:divBdr>
        </w:div>
        <w:div w:id="1886982264">
          <w:marLeft w:val="1267"/>
          <w:marRight w:val="0"/>
          <w:marTop w:val="100"/>
          <w:marBottom w:val="0"/>
          <w:divBdr>
            <w:top w:val="none" w:sz="0" w:space="0" w:color="auto"/>
            <w:left w:val="none" w:sz="0" w:space="0" w:color="auto"/>
            <w:bottom w:val="none" w:sz="0" w:space="0" w:color="auto"/>
            <w:right w:val="none" w:sz="0" w:space="0" w:color="auto"/>
          </w:divBdr>
        </w:div>
      </w:divsChild>
    </w:div>
    <w:div w:id="164627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1.safelinks.protection.outlook.com/?url=https%3A%2F%2Fcdhe.colorado.gov%2F&amp;data=05%7C01%7CBeth.Hunter%40dhe.state.co.us%7C2c4aa75b2a5e4d075f8508db151ab97e%7C472b2de6094648849c95a8326b5e99f5%7C0%7C0%7C638126976751380694%7CUnknown%7CTWFpbGZsb3d8eyJWIjoiMC4wLjAwMDAiLCJQIjoiV2luMzIiLCJBTiI6Ik1haWwiLCJXVCI6Mn0%3D%7C3000%7C%7C%7C&amp;sdata=KKZmbl%2B08yJDEP4Jzo5FTvcYZu01qC6DFghr9xQ0jcc%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nam11.safelinks.protection.outlook.com/?url=https%3A%2F%2Fcdhe.colorado.gov%2F&amp;data=05%7C01%7CBeth.Hunter%40dhe.state.co.us%7C2c4aa75b2a5e4d075f8508db151ab97e%7C472b2de6094648849c95a8326b5e99f5%7C0%7C0%7C638126976751380694%7CUnknown%7CTWFpbGZsb3d8eyJWIjoiMC4wLjAwMDAiLCJQIjoiV2luMzIiLCJBTiI6Ik1haWwiLCJXVCI6Mn0%3D%7C3000%7C%7C%7C&amp;sdata=KKZmbl%2B08yJDEP4Jzo5FTvcYZu01qC6DFghr9xQ0jcc%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riffith\Downloads\August%202025%20GE%20Council%20Report%20for%20SB24-164.dotx" TargetMode="External"/></Relationships>
</file>

<file path=word/theme/theme1.xml><?xml version="1.0" encoding="utf-8"?>
<a:theme xmlns:a="http://schemas.openxmlformats.org/drawingml/2006/main" name="Theme1">
  <a:themeElements>
    <a:clrScheme name="Custom 1">
      <a:dk1>
        <a:srgbClr val="000000"/>
      </a:dk1>
      <a:lt1>
        <a:srgbClr val="FFFFFF"/>
      </a:lt1>
      <a:dk2>
        <a:srgbClr val="5C6670"/>
      </a:dk2>
      <a:lt2>
        <a:srgbClr val="D0D2D3"/>
      </a:lt2>
      <a:accent1>
        <a:srgbClr val="001970"/>
      </a:accent1>
      <a:accent2>
        <a:srgbClr val="407CCA"/>
      </a:accent2>
      <a:accent3>
        <a:srgbClr val="EF7520"/>
      </a:accent3>
      <a:accent4>
        <a:srgbClr val="6D3A5D"/>
      </a:accent4>
      <a:accent5>
        <a:srgbClr val="6CC049"/>
      </a:accent5>
      <a:accent6>
        <a:srgbClr val="F6B333"/>
      </a:accent6>
      <a:hlink>
        <a:srgbClr val="0563C1"/>
      </a:hlink>
      <a:folHlink>
        <a:srgbClr val="6D3A5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db272f-d7c2-4d81-8a4c-2c6b1c81574d">
      <Terms xmlns="http://schemas.microsoft.com/office/infopath/2007/PartnerControls"/>
    </lcf76f155ced4ddcb4097134ff3c332f>
    <TaxCatchAll xmlns="8bacc2c1-1376-42d7-8c0e-2054a6403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97A8C-A714-4104-BFED-AC23C8CC1412}">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8bacc2c1-1376-42d7-8c0e-2054a6403d14"/>
    <ds:schemaRef ds:uri="2fdb272f-d7c2-4d81-8a4c-2c6b1c81574d"/>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1932722-8BB1-4C77-9CAE-4765C235D2B4}">
  <ds:schemaRefs>
    <ds:schemaRef ds:uri="http://schemas.microsoft.com/sharepoint/v3/contenttype/forms"/>
  </ds:schemaRefs>
</ds:datastoreItem>
</file>

<file path=customXml/itemProps3.xml><?xml version="1.0" encoding="utf-8"?>
<ds:datastoreItem xmlns:ds="http://schemas.openxmlformats.org/officeDocument/2006/customXml" ds:itemID="{7FBF0FA6-F548-47A8-BA89-A7EB87C21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BF9BF-7250-494E-A68C-26179B47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August 2025 GE Council Report for SB24-164</Template>
  <TotalTime>4</TotalTime>
  <Pages>17</Pages>
  <Words>3874</Words>
  <Characters>20344</Characters>
  <Application>Microsoft Office Word</Application>
  <DocSecurity>0</DocSecurity>
  <Lines>635</Lines>
  <Paragraphs>563</Paragraphs>
  <ScaleCrop>false</ScaleCrop>
  <HeadingPairs>
    <vt:vector size="2" baseType="variant">
      <vt:variant>
        <vt:lpstr>Title</vt:lpstr>
      </vt:variant>
      <vt:variant>
        <vt:i4>1</vt:i4>
      </vt:variant>
    </vt:vector>
  </HeadingPairs>
  <TitlesOfParts>
    <vt:vector size="1" baseType="lpstr">
      <vt:lpstr>CDHE</vt:lpstr>
    </vt:vector>
  </TitlesOfParts>
  <Manager/>
  <Company>Colorado Department of Higher Education</Company>
  <LinksUpToDate>false</LinksUpToDate>
  <CharactersWithSpaces>23655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CDHE</dc:title>
  <dc:subject/>
  <dc:creator>Brad Griffith</dc:creator>
  <cp:keywords/>
  <dc:description/>
  <cp:lastModifiedBy>Brad Griffith</cp:lastModifiedBy>
  <cp:revision>3</cp:revision>
  <cp:lastPrinted>2018-05-23T21:28:00Z</cp:lastPrinted>
  <dcterms:created xsi:type="dcterms:W3CDTF">2025-11-18T22:40:00Z</dcterms:created>
  <dcterms:modified xsi:type="dcterms:W3CDTF">2025-11-18T22:43:00Z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0x0101007EB8B68769BC6D4B8E8197DF24B77C4D</vt:lpwstr>
  </property>
</Properties>
</file>