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2A95" w14:textId="5F884E7D" w:rsidR="000134FF" w:rsidRDefault="000134FF" w:rsidP="00B144FF">
      <w:pPr>
        <w:pStyle w:val="Default"/>
        <w:ind w:left="2160" w:hanging="2160"/>
      </w:pPr>
      <w:r w:rsidRPr="001B4476">
        <w:rPr>
          <w:b/>
        </w:rPr>
        <w:t>TOPIC:</w:t>
      </w:r>
      <w:r w:rsidRPr="001B4476">
        <w:rPr>
          <w:b/>
        </w:rPr>
        <w:tab/>
      </w:r>
      <w:r w:rsidR="00772D56" w:rsidRPr="00772D56">
        <w:rPr>
          <w:bCs/>
        </w:rPr>
        <w:t>RECOMMENDATION OF</w:t>
      </w:r>
      <w:r w:rsidR="00772D56">
        <w:rPr>
          <w:b/>
        </w:rPr>
        <w:t xml:space="preserve"> </w:t>
      </w:r>
      <w:r w:rsidR="00B126EC" w:rsidRPr="007B1B16">
        <w:t xml:space="preserve">PROPOSED REVISIONS TO CCHE POLICY I, PART F: </w:t>
      </w:r>
      <w:r w:rsidR="00772D56">
        <w:t xml:space="preserve">TRANSFER </w:t>
      </w:r>
      <w:r w:rsidR="00B126EC" w:rsidRPr="007B1B16">
        <w:t>ADMISSIONS STANDARDS POLICY</w:t>
      </w:r>
    </w:p>
    <w:p w14:paraId="5BDAEA27" w14:textId="77777777" w:rsidR="007B1B16" w:rsidRPr="00B126EC" w:rsidRDefault="007B1B16" w:rsidP="00B144FF">
      <w:pPr>
        <w:pStyle w:val="Default"/>
        <w:ind w:left="2160" w:hanging="2160"/>
      </w:pPr>
    </w:p>
    <w:p w14:paraId="31D77C42" w14:textId="244B0EC3" w:rsidR="000134FF" w:rsidRDefault="000134FF" w:rsidP="00B144FF">
      <w:pPr>
        <w:pStyle w:val="NoSpacing"/>
        <w:ind w:left="2160" w:hanging="2160"/>
        <w:rPr>
          <w:b/>
          <w:sz w:val="24"/>
        </w:rPr>
      </w:pPr>
      <w:r w:rsidRPr="00DF1E25">
        <w:rPr>
          <w:b/>
          <w:sz w:val="24"/>
        </w:rPr>
        <w:t>PREPARED BY:</w:t>
      </w:r>
      <w:r w:rsidRPr="00DF1E25">
        <w:rPr>
          <w:b/>
          <w:sz w:val="24"/>
        </w:rPr>
        <w:tab/>
      </w:r>
      <w:r w:rsidR="007B1B16">
        <w:rPr>
          <w:bCs/>
          <w:sz w:val="24"/>
        </w:rPr>
        <w:t>CARL EINHAUS, SENIOR DIRECTOR FOR STUDENT SUCCESS &amp; P-20 ALIGNMENT</w:t>
      </w:r>
      <w:r w:rsidR="009858D8" w:rsidRPr="00880D1A">
        <w:rPr>
          <w:b/>
          <w:sz w:val="24"/>
        </w:rPr>
        <w:t xml:space="preserve"> </w:t>
      </w:r>
    </w:p>
    <w:p w14:paraId="32C6B98F" w14:textId="77777777" w:rsidR="00440082" w:rsidRDefault="00440082" w:rsidP="00B144FF">
      <w:pPr>
        <w:pStyle w:val="NoSpacing"/>
        <w:rPr>
          <w:i/>
          <w:color w:val="0000FF"/>
          <w:sz w:val="24"/>
        </w:rPr>
      </w:pPr>
    </w:p>
    <w:p w14:paraId="0CC964AA" w14:textId="77777777" w:rsidR="00FB6494" w:rsidRDefault="00FB6494" w:rsidP="00B144FF">
      <w:pPr>
        <w:pStyle w:val="NoSpacing"/>
        <w:numPr>
          <w:ilvl w:val="0"/>
          <w:numId w:val="47"/>
        </w:numPr>
        <w:ind w:left="540" w:hanging="540"/>
        <w:jc w:val="both"/>
        <w:rPr>
          <w:b/>
          <w:sz w:val="24"/>
          <w:u w:val="single"/>
        </w:rPr>
      </w:pPr>
      <w:r>
        <w:rPr>
          <w:b/>
          <w:sz w:val="24"/>
          <w:u w:val="single"/>
        </w:rPr>
        <w:t>SUMMARY</w:t>
      </w:r>
      <w:r>
        <w:rPr>
          <w:b/>
          <w:sz w:val="24"/>
          <w:u w:val="single"/>
        </w:rPr>
        <w:br/>
      </w:r>
    </w:p>
    <w:p w14:paraId="25278CB3" w14:textId="0D346E61" w:rsidR="00FB6494" w:rsidRPr="00B144FF" w:rsidRDefault="007B1B16" w:rsidP="00B144FF">
      <w:pPr>
        <w:autoSpaceDE w:val="0"/>
        <w:autoSpaceDN w:val="0"/>
        <w:adjustRightInd w:val="0"/>
        <w:rPr>
          <w:color w:val="000000"/>
          <w:sz w:val="24"/>
        </w:rPr>
      </w:pPr>
      <w:r w:rsidRPr="00B144FF">
        <w:rPr>
          <w:color w:val="000000"/>
          <w:sz w:val="24"/>
        </w:rPr>
        <w:t xml:space="preserve">This </w:t>
      </w:r>
      <w:r w:rsidR="009E495E">
        <w:rPr>
          <w:color w:val="000000"/>
          <w:sz w:val="24"/>
        </w:rPr>
        <w:t>action</w:t>
      </w:r>
      <w:r w:rsidRPr="00B144FF">
        <w:rPr>
          <w:color w:val="000000"/>
          <w:sz w:val="24"/>
        </w:rPr>
        <w:t xml:space="preserve"> item outlines proposed revisions to CCHE Policy I, Part F: Admissions Standards Policy. </w:t>
      </w:r>
      <w:r w:rsidR="009E495E">
        <w:rPr>
          <w:color w:val="000000"/>
          <w:sz w:val="24"/>
        </w:rPr>
        <w:t xml:space="preserve">The proposed recommended changes </w:t>
      </w:r>
      <w:r w:rsidR="00F6378D">
        <w:rPr>
          <w:color w:val="000000"/>
          <w:sz w:val="24"/>
        </w:rPr>
        <w:t xml:space="preserve">focus on admission criteria for applicants who are considered under transfer admission standards. </w:t>
      </w:r>
      <w:r w:rsidR="009E495E">
        <w:rPr>
          <w:color w:val="000000"/>
          <w:sz w:val="24"/>
        </w:rPr>
        <w:t>These proposed changes were initiated</w:t>
      </w:r>
      <w:r w:rsidR="00BF077B">
        <w:rPr>
          <w:color w:val="000000"/>
          <w:sz w:val="24"/>
        </w:rPr>
        <w:t>,</w:t>
      </w:r>
      <w:r w:rsidR="00831765">
        <w:rPr>
          <w:color w:val="000000"/>
          <w:sz w:val="24"/>
        </w:rPr>
        <w:t xml:space="preserve"> written</w:t>
      </w:r>
      <w:r w:rsidR="009E495E">
        <w:rPr>
          <w:color w:val="000000"/>
          <w:sz w:val="24"/>
        </w:rPr>
        <w:t xml:space="preserve"> by and have complete consensus from the statewide Admission Council.</w:t>
      </w:r>
    </w:p>
    <w:p w14:paraId="794D78AE" w14:textId="77777777" w:rsidR="00FB6494" w:rsidRPr="00FB6494" w:rsidRDefault="00FB6494" w:rsidP="00B144FF">
      <w:pPr>
        <w:pStyle w:val="NoSpacing"/>
        <w:jc w:val="both"/>
        <w:rPr>
          <w:sz w:val="24"/>
        </w:rPr>
      </w:pPr>
    </w:p>
    <w:p w14:paraId="0241A3E5" w14:textId="77777777" w:rsidR="00440082" w:rsidRDefault="00440082" w:rsidP="00B144FF">
      <w:pPr>
        <w:pStyle w:val="NoSpacing"/>
        <w:jc w:val="both"/>
        <w:rPr>
          <w:b/>
          <w:sz w:val="24"/>
          <w:u w:val="single"/>
        </w:rPr>
      </w:pPr>
    </w:p>
    <w:p w14:paraId="2B393646" w14:textId="77777777" w:rsidR="00FB6494" w:rsidRDefault="00FB6494" w:rsidP="00B144FF">
      <w:pPr>
        <w:pStyle w:val="NoSpacing"/>
        <w:numPr>
          <w:ilvl w:val="0"/>
          <w:numId w:val="47"/>
        </w:numPr>
        <w:ind w:left="540" w:hanging="540"/>
        <w:jc w:val="both"/>
        <w:rPr>
          <w:b/>
          <w:sz w:val="24"/>
          <w:u w:val="single"/>
        </w:rPr>
      </w:pPr>
      <w:r>
        <w:rPr>
          <w:b/>
          <w:sz w:val="24"/>
          <w:u w:val="single"/>
        </w:rPr>
        <w:t>BACKGROUND</w:t>
      </w:r>
    </w:p>
    <w:p w14:paraId="4CE3EA1B" w14:textId="77777777" w:rsidR="00FB6494" w:rsidRDefault="00FB6494" w:rsidP="00B144FF">
      <w:pPr>
        <w:pStyle w:val="NoSpacing"/>
        <w:jc w:val="both"/>
        <w:rPr>
          <w:b/>
          <w:sz w:val="24"/>
          <w:u w:val="single"/>
        </w:rPr>
      </w:pPr>
    </w:p>
    <w:p w14:paraId="6FBADD1F" w14:textId="30E8E57A" w:rsidR="004179C4" w:rsidRDefault="00EB414D" w:rsidP="00B144FF">
      <w:pPr>
        <w:pStyle w:val="NoSpacing"/>
        <w:jc w:val="both"/>
        <w:rPr>
          <w:sz w:val="24"/>
        </w:rPr>
      </w:pPr>
      <w:r>
        <w:rPr>
          <w:sz w:val="24"/>
        </w:rPr>
        <w:t>As directed by C.R.S. 23-1-113, t</w:t>
      </w:r>
      <w:r w:rsidR="003F4BEA">
        <w:rPr>
          <w:sz w:val="24"/>
        </w:rPr>
        <w:t xml:space="preserve">he Admission Standards Policy </w:t>
      </w:r>
      <w:r>
        <w:rPr>
          <w:sz w:val="24"/>
        </w:rPr>
        <w:t>establishes academic admission standards for Colorado’s four-year institutions of higher education (two-year institutions and area technical colleges are open enrollment and are exempt from academic admission standards). The standards are organized in two main categories:</w:t>
      </w:r>
    </w:p>
    <w:p w14:paraId="4C1DE01D" w14:textId="7264057B" w:rsidR="004179C4" w:rsidRDefault="00EB414D" w:rsidP="00B144FF">
      <w:pPr>
        <w:pStyle w:val="NoSpacing"/>
        <w:numPr>
          <w:ilvl w:val="0"/>
          <w:numId w:val="49"/>
        </w:numPr>
        <w:jc w:val="both"/>
        <w:rPr>
          <w:sz w:val="24"/>
        </w:rPr>
      </w:pPr>
      <w:r>
        <w:rPr>
          <w:sz w:val="24"/>
        </w:rPr>
        <w:t>first-time freshmen applicants; and</w:t>
      </w:r>
    </w:p>
    <w:p w14:paraId="1FC989B5" w14:textId="25DC1E00" w:rsidR="004179C4" w:rsidRDefault="00EB414D" w:rsidP="00B144FF">
      <w:pPr>
        <w:pStyle w:val="NoSpacing"/>
        <w:numPr>
          <w:ilvl w:val="0"/>
          <w:numId w:val="49"/>
        </w:numPr>
        <w:jc w:val="both"/>
        <w:rPr>
          <w:sz w:val="24"/>
        </w:rPr>
      </w:pPr>
      <w:r>
        <w:rPr>
          <w:sz w:val="24"/>
        </w:rPr>
        <w:t xml:space="preserve">transfer applicants. </w:t>
      </w:r>
    </w:p>
    <w:p w14:paraId="21A78DA4" w14:textId="023346B5" w:rsidR="004179C4" w:rsidRDefault="004179C4" w:rsidP="00B144FF">
      <w:pPr>
        <w:pStyle w:val="NoSpacing"/>
        <w:jc w:val="both"/>
        <w:rPr>
          <w:sz w:val="24"/>
        </w:rPr>
      </w:pPr>
    </w:p>
    <w:p w14:paraId="042C4D86" w14:textId="317B3E56" w:rsidR="00EB414D" w:rsidRDefault="00EB414D" w:rsidP="00B144FF">
      <w:pPr>
        <w:pStyle w:val="NoSpacing"/>
        <w:jc w:val="both"/>
        <w:rPr>
          <w:sz w:val="24"/>
        </w:rPr>
      </w:pPr>
      <w:r>
        <w:rPr>
          <w:sz w:val="24"/>
        </w:rPr>
        <w:t>T</w:t>
      </w:r>
      <w:r w:rsidRPr="00EB414D">
        <w:rPr>
          <w:sz w:val="24"/>
        </w:rPr>
        <w:t>ransfer student admissions standard apply to all degree-seeking undergraduate applicants with 24 or more college-level semester credit hours completed at the point of applicat</w:t>
      </w:r>
      <w:r>
        <w:rPr>
          <w:sz w:val="24"/>
        </w:rPr>
        <w:t>ion</w:t>
      </w:r>
      <w:r w:rsidRPr="00EB414D">
        <w:rPr>
          <w:sz w:val="24"/>
        </w:rPr>
        <w:t>.</w:t>
      </w:r>
      <w:r>
        <w:rPr>
          <w:sz w:val="24"/>
        </w:rPr>
        <w:t xml:space="preserve"> </w:t>
      </w:r>
      <w:r w:rsidR="00F228B7">
        <w:rPr>
          <w:sz w:val="24"/>
        </w:rPr>
        <w:t>Standalone developmental</w:t>
      </w:r>
      <w:r w:rsidR="00306778">
        <w:rPr>
          <w:sz w:val="24"/>
        </w:rPr>
        <w:t xml:space="preserve"> education</w:t>
      </w:r>
      <w:r w:rsidR="00F228B7" w:rsidRPr="00F228B7">
        <w:rPr>
          <w:sz w:val="24"/>
        </w:rPr>
        <w:t xml:space="preserve"> coursework and</w:t>
      </w:r>
      <w:r w:rsidR="00F228B7">
        <w:rPr>
          <w:sz w:val="24"/>
        </w:rPr>
        <w:t xml:space="preserve"> </w:t>
      </w:r>
      <w:r w:rsidR="00F228B7" w:rsidRPr="00F228B7">
        <w:rPr>
          <w:sz w:val="24"/>
        </w:rPr>
        <w:t xml:space="preserve">college-level coursework </w:t>
      </w:r>
      <w:r w:rsidR="00F228B7">
        <w:rPr>
          <w:sz w:val="24"/>
        </w:rPr>
        <w:t>completed before high school graduation (</w:t>
      </w:r>
      <w:proofErr w:type="gramStart"/>
      <w:r w:rsidR="00F228B7">
        <w:rPr>
          <w:sz w:val="24"/>
        </w:rPr>
        <w:t>i.e.</w:t>
      </w:r>
      <w:proofErr w:type="gramEnd"/>
      <w:r w:rsidR="00F228B7">
        <w:rPr>
          <w:sz w:val="24"/>
        </w:rPr>
        <w:t xml:space="preserve"> dual enrollment and Concurrent Enrollment)</w:t>
      </w:r>
      <w:r w:rsidR="00F228B7" w:rsidRPr="00F228B7">
        <w:rPr>
          <w:sz w:val="24"/>
        </w:rPr>
        <w:t xml:space="preserve"> </w:t>
      </w:r>
      <w:r w:rsidR="00F228B7">
        <w:rPr>
          <w:sz w:val="24"/>
        </w:rPr>
        <w:t>are excluded from determining transfer admission consideration</w:t>
      </w:r>
      <w:r w:rsidR="00CB0F06">
        <w:rPr>
          <w:sz w:val="24"/>
        </w:rPr>
        <w:t xml:space="preserve"> (this allows institutions to consider recent high school graduates</w:t>
      </w:r>
      <w:r w:rsidR="00D4270F">
        <w:rPr>
          <w:sz w:val="24"/>
        </w:rPr>
        <w:t xml:space="preserve"> with 24 and over </w:t>
      </w:r>
      <w:r w:rsidR="00306778">
        <w:rPr>
          <w:sz w:val="24"/>
        </w:rPr>
        <w:t xml:space="preserve">completed </w:t>
      </w:r>
      <w:r w:rsidR="00D4270F">
        <w:rPr>
          <w:sz w:val="24"/>
        </w:rPr>
        <w:t>college-level credit hours as first-time students for scholarship consideration and housing</w:t>
      </w:r>
      <w:r w:rsidR="00A83C9E">
        <w:rPr>
          <w:sz w:val="24"/>
        </w:rPr>
        <w:t xml:space="preserve"> assignments</w:t>
      </w:r>
      <w:r w:rsidR="00D4270F">
        <w:rPr>
          <w:sz w:val="24"/>
        </w:rPr>
        <w:t>)</w:t>
      </w:r>
      <w:r w:rsidR="00F228B7" w:rsidRPr="00F228B7">
        <w:rPr>
          <w:sz w:val="24"/>
        </w:rPr>
        <w:t>.</w:t>
      </w:r>
      <w:r w:rsidR="00F228B7">
        <w:rPr>
          <w:sz w:val="24"/>
        </w:rPr>
        <w:t xml:space="preserve"> </w:t>
      </w:r>
      <w:r w:rsidRPr="00EB414D">
        <w:rPr>
          <w:sz w:val="24"/>
        </w:rPr>
        <w:t>First-time admissions standards apply to transfer students with fewer than 24 college-level semester credit hours.</w:t>
      </w:r>
    </w:p>
    <w:p w14:paraId="7A8AD2A2" w14:textId="77777777" w:rsidR="00EB414D" w:rsidRDefault="00EB414D" w:rsidP="00B144FF">
      <w:pPr>
        <w:pStyle w:val="NoSpacing"/>
        <w:jc w:val="both"/>
        <w:rPr>
          <w:sz w:val="24"/>
        </w:rPr>
      </w:pPr>
    </w:p>
    <w:p w14:paraId="3C54E6EE" w14:textId="77777777" w:rsidR="00306778" w:rsidRDefault="00306778" w:rsidP="00B144FF">
      <w:pPr>
        <w:pStyle w:val="NoSpacing"/>
        <w:jc w:val="both"/>
        <w:rPr>
          <w:color w:val="000000"/>
          <w:sz w:val="24"/>
        </w:rPr>
      </w:pPr>
      <w:r>
        <w:rPr>
          <w:color w:val="000000"/>
          <w:sz w:val="24"/>
        </w:rPr>
        <w:t>Current policy directs institutions to utilize the following indicators for transfer admission standards:</w:t>
      </w:r>
    </w:p>
    <w:p w14:paraId="4D5E5C5F" w14:textId="77777777" w:rsidR="00306778" w:rsidRPr="00306778" w:rsidRDefault="00306778" w:rsidP="00306778">
      <w:pPr>
        <w:pStyle w:val="NoSpacing"/>
        <w:numPr>
          <w:ilvl w:val="0"/>
          <w:numId w:val="49"/>
        </w:numPr>
        <w:jc w:val="both"/>
        <w:rPr>
          <w:color w:val="000000"/>
          <w:sz w:val="24"/>
        </w:rPr>
      </w:pPr>
      <w:r w:rsidRPr="00306778">
        <w:rPr>
          <w:color w:val="000000"/>
          <w:sz w:val="24"/>
        </w:rPr>
        <w:t xml:space="preserve">Cumulative grade point average (GPA) from all previous college-level </w:t>
      </w:r>
      <w:proofErr w:type="gramStart"/>
      <w:r w:rsidRPr="00306778">
        <w:rPr>
          <w:color w:val="000000"/>
          <w:sz w:val="24"/>
        </w:rPr>
        <w:t>coursework;</w:t>
      </w:r>
      <w:proofErr w:type="gramEnd"/>
      <w:r w:rsidRPr="00306778">
        <w:rPr>
          <w:color w:val="000000"/>
          <w:sz w:val="24"/>
        </w:rPr>
        <w:t xml:space="preserve"> </w:t>
      </w:r>
    </w:p>
    <w:p w14:paraId="380A9289" w14:textId="77777777" w:rsidR="00306778" w:rsidRPr="00306778" w:rsidRDefault="00306778" w:rsidP="00306778">
      <w:pPr>
        <w:pStyle w:val="NoSpacing"/>
        <w:numPr>
          <w:ilvl w:val="0"/>
          <w:numId w:val="49"/>
        </w:numPr>
        <w:jc w:val="both"/>
        <w:rPr>
          <w:color w:val="000000"/>
          <w:sz w:val="24"/>
        </w:rPr>
      </w:pPr>
      <w:r w:rsidRPr="00306778">
        <w:rPr>
          <w:color w:val="000000"/>
          <w:sz w:val="24"/>
        </w:rPr>
        <w:t xml:space="preserve">24 or more college-level semester credit hours </w:t>
      </w:r>
      <w:proofErr w:type="gramStart"/>
      <w:r w:rsidRPr="00306778">
        <w:rPr>
          <w:color w:val="000000"/>
          <w:sz w:val="24"/>
        </w:rPr>
        <w:t>completed;</w:t>
      </w:r>
      <w:proofErr w:type="gramEnd"/>
      <w:r w:rsidRPr="00306778">
        <w:rPr>
          <w:color w:val="000000"/>
          <w:sz w:val="24"/>
        </w:rPr>
        <w:t xml:space="preserve"> and Successful completion of basic skills courses.</w:t>
      </w:r>
    </w:p>
    <w:p w14:paraId="1D3D0C1D" w14:textId="4385DB80" w:rsidR="00306778" w:rsidRDefault="00306778" w:rsidP="00306778">
      <w:pPr>
        <w:pStyle w:val="NoSpacing"/>
        <w:jc w:val="both"/>
        <w:rPr>
          <w:sz w:val="24"/>
        </w:rPr>
      </w:pPr>
    </w:p>
    <w:p w14:paraId="01428416" w14:textId="068AC590" w:rsidR="00306778" w:rsidRDefault="00204093" w:rsidP="00306778">
      <w:pPr>
        <w:pStyle w:val="NoSpacing"/>
        <w:jc w:val="both"/>
        <w:rPr>
          <w:strike/>
          <w:color w:val="FF0000"/>
        </w:rPr>
      </w:pPr>
      <w:r>
        <w:rPr>
          <w:sz w:val="24"/>
        </w:rPr>
        <w:t>P</w:t>
      </w:r>
      <w:r w:rsidR="00306778">
        <w:rPr>
          <w:sz w:val="24"/>
        </w:rPr>
        <w:t xml:space="preserve">olicy requires institutions to establish a </w:t>
      </w:r>
      <w:r>
        <w:rPr>
          <w:sz w:val="24"/>
        </w:rPr>
        <w:t xml:space="preserve">recommended cumulative GPA as a guideline for transfer admission. The Commission approved the current </w:t>
      </w:r>
      <w:hyperlink r:id="rId8" w:history="1">
        <w:r w:rsidRPr="00204093">
          <w:rPr>
            <w:rStyle w:val="Hyperlink"/>
            <w:sz w:val="24"/>
          </w:rPr>
          <w:t>transfer admission GPAs</w:t>
        </w:r>
      </w:hyperlink>
      <w:r w:rsidR="00A83C9E">
        <w:rPr>
          <w:sz w:val="24"/>
        </w:rPr>
        <w:t xml:space="preserve"> as well as any</w:t>
      </w:r>
      <w:r>
        <w:rPr>
          <w:sz w:val="24"/>
        </w:rPr>
        <w:t xml:space="preserve"> changes IHEs wish to make to the GPA. </w:t>
      </w:r>
    </w:p>
    <w:p w14:paraId="51BF85B0" w14:textId="77777777" w:rsidR="00306778" w:rsidRPr="00306778" w:rsidRDefault="00306778" w:rsidP="00306778">
      <w:pPr>
        <w:pStyle w:val="NoSpacing"/>
        <w:jc w:val="both"/>
        <w:rPr>
          <w:sz w:val="24"/>
        </w:rPr>
      </w:pPr>
    </w:p>
    <w:p w14:paraId="2B934F17" w14:textId="345F197A" w:rsidR="0065236C" w:rsidRDefault="00204093" w:rsidP="00306778">
      <w:pPr>
        <w:pStyle w:val="NoSpacing"/>
        <w:jc w:val="both"/>
        <w:rPr>
          <w:sz w:val="24"/>
        </w:rPr>
      </w:pPr>
      <w:r>
        <w:rPr>
          <w:color w:val="000000"/>
          <w:sz w:val="24"/>
        </w:rPr>
        <w:t>I</w:t>
      </w:r>
      <w:r w:rsidR="009E495E">
        <w:rPr>
          <w:color w:val="000000"/>
          <w:sz w:val="24"/>
        </w:rPr>
        <w:t>t is proposed to align transfer admission standards to better reflect the nuanced and mixed academic, work and life experiences many adult students possess</w:t>
      </w:r>
      <w:r w:rsidR="009E495E" w:rsidRPr="00B144FF">
        <w:rPr>
          <w:color w:val="000000"/>
          <w:sz w:val="24"/>
        </w:rPr>
        <w:t>.</w:t>
      </w:r>
      <w:r w:rsidR="009E495E">
        <w:rPr>
          <w:color w:val="000000"/>
          <w:sz w:val="24"/>
        </w:rPr>
        <w:t xml:space="preserve"> </w:t>
      </w:r>
      <w:r>
        <w:rPr>
          <w:color w:val="000000"/>
          <w:sz w:val="24"/>
        </w:rPr>
        <w:t>The c</w:t>
      </w:r>
      <w:r w:rsidR="009E495E">
        <w:rPr>
          <w:color w:val="000000"/>
          <w:sz w:val="24"/>
        </w:rPr>
        <w:t xml:space="preserve">urrent transfer admission </w:t>
      </w:r>
      <w:r>
        <w:rPr>
          <w:color w:val="000000"/>
          <w:sz w:val="24"/>
        </w:rPr>
        <w:lastRenderedPageBreak/>
        <w:t>GPA guideline</w:t>
      </w:r>
      <w:r w:rsidR="009E495E">
        <w:rPr>
          <w:color w:val="000000"/>
          <w:sz w:val="24"/>
        </w:rPr>
        <w:t xml:space="preserve"> is </w:t>
      </w:r>
      <w:r>
        <w:rPr>
          <w:color w:val="000000"/>
          <w:sz w:val="24"/>
        </w:rPr>
        <w:t xml:space="preserve">often </w:t>
      </w:r>
      <w:r w:rsidR="009E495E">
        <w:rPr>
          <w:color w:val="000000"/>
          <w:sz w:val="24"/>
        </w:rPr>
        <w:t>misleading to applicants as a</w:t>
      </w:r>
      <w:r w:rsidR="00BF077B">
        <w:rPr>
          <w:color w:val="000000"/>
          <w:sz w:val="24"/>
        </w:rPr>
        <w:t xml:space="preserve"> specific</w:t>
      </w:r>
      <w:r w:rsidR="009E495E">
        <w:rPr>
          <w:color w:val="000000"/>
          <w:sz w:val="24"/>
        </w:rPr>
        <w:t xml:space="preserve"> college GPA does not necessarily reflect a transfer student’s unique circumstances and potential to be successful</w:t>
      </w:r>
      <w:r>
        <w:rPr>
          <w:color w:val="000000"/>
          <w:sz w:val="24"/>
        </w:rPr>
        <w:t xml:space="preserve"> at the institution</w:t>
      </w:r>
      <w:r w:rsidR="009E495E">
        <w:rPr>
          <w:color w:val="000000"/>
          <w:sz w:val="24"/>
        </w:rPr>
        <w:t xml:space="preserve">. </w:t>
      </w:r>
      <w:r>
        <w:rPr>
          <w:color w:val="000000"/>
          <w:sz w:val="24"/>
        </w:rPr>
        <w:t xml:space="preserve">Some applicants may self-select not to apply to an institution if their college GPA is lower than the institution’s transfer GPA. </w:t>
      </w:r>
      <w:r w:rsidR="00510E7F">
        <w:rPr>
          <w:color w:val="000000"/>
          <w:sz w:val="24"/>
        </w:rPr>
        <w:t xml:space="preserve">Further, institutions can feel constrained in enforcing a transfer GPA that might not be in the student’s best interest. </w:t>
      </w:r>
      <w:r>
        <w:rPr>
          <w:color w:val="000000"/>
          <w:sz w:val="24"/>
        </w:rPr>
        <w:t>Removing the primary focus of college GPA and instead</w:t>
      </w:r>
      <w:r w:rsidR="0065236C">
        <w:rPr>
          <w:color w:val="000000"/>
          <w:sz w:val="24"/>
        </w:rPr>
        <w:t xml:space="preserve"> communicating</w:t>
      </w:r>
      <w:r w:rsidR="009E495E">
        <w:rPr>
          <w:color w:val="000000"/>
          <w:sz w:val="24"/>
        </w:rPr>
        <w:t xml:space="preserve"> a more holistic approach to transfer admission would especially benefit returning adults</w:t>
      </w:r>
      <w:r w:rsidR="0065236C">
        <w:rPr>
          <w:color w:val="000000"/>
          <w:sz w:val="24"/>
        </w:rPr>
        <w:t xml:space="preserve"> that may have had academic challenges years ago, but now can demonstrate how life and work experiences have matured and readied them for success</w:t>
      </w:r>
      <w:r w:rsidR="00DA6085">
        <w:rPr>
          <w:sz w:val="24"/>
        </w:rPr>
        <w:t>.</w:t>
      </w:r>
      <w:r w:rsidR="0065236C">
        <w:rPr>
          <w:sz w:val="24"/>
        </w:rPr>
        <w:t xml:space="preserve"> In short, the current policy can be a barrier in practice for adults wishing to return to higher education and earn a credential. </w:t>
      </w:r>
    </w:p>
    <w:p w14:paraId="44273421" w14:textId="77777777" w:rsidR="0065236C" w:rsidRDefault="0065236C" w:rsidP="00306778">
      <w:pPr>
        <w:pStyle w:val="NoSpacing"/>
        <w:jc w:val="both"/>
        <w:rPr>
          <w:sz w:val="24"/>
        </w:rPr>
      </w:pPr>
    </w:p>
    <w:p w14:paraId="06ECC4DB" w14:textId="46B67CCE" w:rsidR="0065236C" w:rsidRDefault="0065236C" w:rsidP="00306778">
      <w:pPr>
        <w:pStyle w:val="NoSpacing"/>
        <w:jc w:val="both"/>
        <w:rPr>
          <w:sz w:val="24"/>
        </w:rPr>
      </w:pPr>
      <w:r>
        <w:rPr>
          <w:sz w:val="24"/>
        </w:rPr>
        <w:t>The proposed academic performance indicators for transfer admission are</w:t>
      </w:r>
      <w:r w:rsidR="00B2531F">
        <w:rPr>
          <w:sz w:val="24"/>
        </w:rPr>
        <w:t xml:space="preserve"> as follows and </w:t>
      </w:r>
      <w:r w:rsidR="002656B0">
        <w:rPr>
          <w:sz w:val="24"/>
        </w:rPr>
        <w:t>mirrors</w:t>
      </w:r>
      <w:r w:rsidR="00B2531F">
        <w:rPr>
          <w:sz w:val="24"/>
        </w:rPr>
        <w:t xml:space="preserve"> statutory </w:t>
      </w:r>
      <w:r w:rsidR="002656B0">
        <w:rPr>
          <w:sz w:val="24"/>
        </w:rPr>
        <w:t>language</w:t>
      </w:r>
      <w:r w:rsidR="00B2531F">
        <w:rPr>
          <w:sz w:val="24"/>
        </w:rPr>
        <w:t xml:space="preserve"> that GPA </w:t>
      </w:r>
      <w:r w:rsidR="002656B0">
        <w:rPr>
          <w:sz w:val="24"/>
        </w:rPr>
        <w:t xml:space="preserve">may </w:t>
      </w:r>
      <w:r w:rsidR="00B2531F">
        <w:rPr>
          <w:sz w:val="24"/>
        </w:rPr>
        <w:t>be utilized as an indicator</w:t>
      </w:r>
      <w:r>
        <w:rPr>
          <w:sz w:val="24"/>
        </w:rPr>
        <w:t>:</w:t>
      </w:r>
    </w:p>
    <w:p w14:paraId="7110B16E" w14:textId="77777777" w:rsidR="002656B0" w:rsidRPr="002656B0" w:rsidRDefault="002656B0" w:rsidP="002656B0">
      <w:pPr>
        <w:jc w:val="both"/>
        <w:rPr>
          <w:i/>
          <w:iCs/>
          <w:sz w:val="24"/>
        </w:rPr>
      </w:pPr>
      <w:r w:rsidRPr="002656B0">
        <w:rPr>
          <w:i/>
          <w:iCs/>
          <w:sz w:val="24"/>
        </w:rPr>
        <w:t>If transfer students have 24 or more college-level semester credit hours completed at the point of application, then the transfer student admissions standard shall apply. Each institution shall establish and maintain transfer admissions standards which may include holistic performance measures such as cumulative grade point average (GPA), previous and transferrable coursework, grade trends, personal circumstances, etc.</w:t>
      </w:r>
    </w:p>
    <w:p w14:paraId="650E7DDF" w14:textId="77FFD02A" w:rsidR="005928FB" w:rsidRDefault="005928FB" w:rsidP="0065236C">
      <w:pPr>
        <w:pStyle w:val="NoSpacing"/>
        <w:rPr>
          <w:i/>
          <w:iCs/>
          <w:sz w:val="24"/>
        </w:rPr>
      </w:pPr>
    </w:p>
    <w:p w14:paraId="2BE1DAA3" w14:textId="2BB7FAD4" w:rsidR="005928FB" w:rsidRPr="0065236C" w:rsidRDefault="005928FB" w:rsidP="0065236C">
      <w:pPr>
        <w:pStyle w:val="NoSpacing"/>
        <w:rPr>
          <w:sz w:val="24"/>
        </w:rPr>
      </w:pPr>
      <w:r>
        <w:rPr>
          <w:sz w:val="24"/>
        </w:rPr>
        <w:t>As a result, t</w:t>
      </w:r>
      <w:r w:rsidRPr="005928FB">
        <w:rPr>
          <w:sz w:val="24"/>
        </w:rPr>
        <w:t>he sections of policy requiring institutions to submit</w:t>
      </w:r>
      <w:r>
        <w:rPr>
          <w:sz w:val="24"/>
        </w:rPr>
        <w:t xml:space="preserve"> to the Commission</w:t>
      </w:r>
      <w:r w:rsidRPr="005928FB">
        <w:rPr>
          <w:sz w:val="24"/>
        </w:rPr>
        <w:t xml:space="preserve"> for approval any changes to their transfer GPA</w:t>
      </w:r>
      <w:r>
        <w:rPr>
          <w:sz w:val="24"/>
        </w:rPr>
        <w:t xml:space="preserve"> </w:t>
      </w:r>
      <w:proofErr w:type="gramStart"/>
      <w:r w:rsidRPr="005928FB">
        <w:rPr>
          <w:sz w:val="24"/>
        </w:rPr>
        <w:t>is</w:t>
      </w:r>
      <w:proofErr w:type="gramEnd"/>
      <w:r w:rsidRPr="005928FB">
        <w:rPr>
          <w:sz w:val="24"/>
        </w:rPr>
        <w:t xml:space="preserve"> proposed to be removed.</w:t>
      </w:r>
    </w:p>
    <w:p w14:paraId="20579ED3" w14:textId="17829076" w:rsidR="004179C4" w:rsidRDefault="00DA6085" w:rsidP="00306778">
      <w:pPr>
        <w:pStyle w:val="NoSpacing"/>
        <w:jc w:val="both"/>
        <w:rPr>
          <w:sz w:val="24"/>
        </w:rPr>
      </w:pPr>
      <w:r>
        <w:rPr>
          <w:sz w:val="24"/>
        </w:rPr>
        <w:t xml:space="preserve"> </w:t>
      </w:r>
    </w:p>
    <w:p w14:paraId="397F2851" w14:textId="35D5B8A6" w:rsidR="00DA6085" w:rsidRDefault="00DA6085" w:rsidP="00B144FF">
      <w:pPr>
        <w:pStyle w:val="NoSpacing"/>
        <w:jc w:val="both"/>
        <w:rPr>
          <w:b/>
          <w:sz w:val="24"/>
          <w:u w:val="single"/>
        </w:rPr>
      </w:pPr>
    </w:p>
    <w:p w14:paraId="25243C2C" w14:textId="77777777" w:rsidR="00FB6494" w:rsidRDefault="00FB6494" w:rsidP="00B144FF">
      <w:pPr>
        <w:pStyle w:val="NoSpacing"/>
        <w:numPr>
          <w:ilvl w:val="0"/>
          <w:numId w:val="47"/>
        </w:numPr>
        <w:ind w:left="540" w:hanging="540"/>
        <w:jc w:val="both"/>
        <w:rPr>
          <w:b/>
          <w:sz w:val="24"/>
          <w:u w:val="single"/>
        </w:rPr>
      </w:pPr>
      <w:r>
        <w:rPr>
          <w:b/>
          <w:sz w:val="24"/>
          <w:u w:val="single"/>
        </w:rPr>
        <w:t>STAFF ANALYSIS</w:t>
      </w:r>
    </w:p>
    <w:p w14:paraId="7A25234C" w14:textId="77777777" w:rsidR="00FB6494" w:rsidRDefault="00FB6494" w:rsidP="00B144FF">
      <w:pPr>
        <w:pStyle w:val="NoSpacing"/>
        <w:jc w:val="both"/>
        <w:rPr>
          <w:b/>
          <w:sz w:val="24"/>
          <w:u w:val="single"/>
        </w:rPr>
      </w:pPr>
    </w:p>
    <w:p w14:paraId="7DC8071A" w14:textId="6D41C29A" w:rsidR="00FB6494" w:rsidRDefault="007F7B98" w:rsidP="00B144FF">
      <w:pPr>
        <w:pStyle w:val="NoSpacing"/>
        <w:jc w:val="both"/>
        <w:rPr>
          <w:sz w:val="24"/>
        </w:rPr>
      </w:pPr>
      <w:r>
        <w:rPr>
          <w:sz w:val="24"/>
        </w:rPr>
        <w:t xml:space="preserve">The Admission Council directed the changes to transfer admission standards to assist our state’s efforts to re-engage adult students and help increase </w:t>
      </w:r>
      <w:r w:rsidR="00784868">
        <w:rPr>
          <w:sz w:val="24"/>
        </w:rPr>
        <w:t xml:space="preserve">both </w:t>
      </w:r>
      <w:r>
        <w:rPr>
          <w:sz w:val="24"/>
        </w:rPr>
        <w:t>completion of credentials of value a</w:t>
      </w:r>
      <w:r w:rsidR="00784868">
        <w:rPr>
          <w:sz w:val="24"/>
        </w:rPr>
        <w:t>s well as</w:t>
      </w:r>
      <w:r>
        <w:rPr>
          <w:sz w:val="24"/>
        </w:rPr>
        <w:t xml:space="preserve"> economic mobility</w:t>
      </w:r>
      <w:r w:rsidR="00570D90">
        <w:rPr>
          <w:sz w:val="24"/>
        </w:rPr>
        <w:t>.</w:t>
      </w:r>
    </w:p>
    <w:p w14:paraId="7DC5713E" w14:textId="77777777" w:rsidR="00FB6494" w:rsidRPr="00FB6494" w:rsidRDefault="00FB6494" w:rsidP="00B144FF">
      <w:pPr>
        <w:pStyle w:val="NoSpacing"/>
        <w:jc w:val="both"/>
        <w:rPr>
          <w:sz w:val="24"/>
        </w:rPr>
      </w:pPr>
    </w:p>
    <w:p w14:paraId="1A966105" w14:textId="77777777" w:rsidR="00FB6494" w:rsidRDefault="00FB6494" w:rsidP="00B144FF">
      <w:pPr>
        <w:pStyle w:val="NoSpacing"/>
        <w:numPr>
          <w:ilvl w:val="0"/>
          <w:numId w:val="47"/>
        </w:numPr>
        <w:ind w:left="540" w:hanging="540"/>
        <w:jc w:val="both"/>
        <w:rPr>
          <w:b/>
          <w:sz w:val="24"/>
          <w:u w:val="single"/>
        </w:rPr>
      </w:pPr>
      <w:r>
        <w:rPr>
          <w:b/>
          <w:sz w:val="24"/>
          <w:u w:val="single"/>
        </w:rPr>
        <w:t>STAFF RECOMMENDATIONS</w:t>
      </w:r>
    </w:p>
    <w:p w14:paraId="1614BC49" w14:textId="77777777" w:rsidR="00FB6494" w:rsidRDefault="00FB6494" w:rsidP="00B144FF">
      <w:pPr>
        <w:pStyle w:val="NoSpacing"/>
        <w:jc w:val="both"/>
        <w:rPr>
          <w:b/>
          <w:sz w:val="24"/>
          <w:u w:val="single"/>
        </w:rPr>
      </w:pPr>
    </w:p>
    <w:p w14:paraId="5D318544" w14:textId="4B748ADA" w:rsidR="00FB6494" w:rsidRPr="00253055" w:rsidRDefault="00253055" w:rsidP="00B144FF">
      <w:pPr>
        <w:pStyle w:val="NoSpacing"/>
        <w:jc w:val="both"/>
        <w:rPr>
          <w:b/>
          <w:bCs/>
          <w:sz w:val="24"/>
        </w:rPr>
      </w:pPr>
      <w:r w:rsidRPr="00253055">
        <w:rPr>
          <w:b/>
          <w:bCs/>
          <w:sz w:val="24"/>
        </w:rPr>
        <w:t>Staff recommends approv</w:t>
      </w:r>
      <w:r w:rsidR="00B144FF">
        <w:rPr>
          <w:b/>
          <w:bCs/>
          <w:sz w:val="24"/>
        </w:rPr>
        <w:t>al of</w:t>
      </w:r>
      <w:r w:rsidRPr="00253055">
        <w:rPr>
          <w:b/>
          <w:bCs/>
          <w:sz w:val="24"/>
        </w:rPr>
        <w:t xml:space="preserve"> the proposed changes to the admission policy.</w:t>
      </w:r>
    </w:p>
    <w:p w14:paraId="7A446043" w14:textId="77777777" w:rsidR="00253055" w:rsidRPr="00FB6494" w:rsidRDefault="00253055" w:rsidP="00B144FF">
      <w:pPr>
        <w:pStyle w:val="NoSpacing"/>
        <w:jc w:val="both"/>
        <w:rPr>
          <w:b/>
          <w:sz w:val="24"/>
        </w:rPr>
      </w:pPr>
    </w:p>
    <w:p w14:paraId="4FD26582" w14:textId="77777777" w:rsidR="00FB6494" w:rsidRDefault="00FB6494" w:rsidP="00B144FF">
      <w:pPr>
        <w:pStyle w:val="NoSpacing"/>
        <w:numPr>
          <w:ilvl w:val="0"/>
          <w:numId w:val="47"/>
        </w:numPr>
        <w:ind w:left="540" w:hanging="540"/>
        <w:jc w:val="both"/>
        <w:rPr>
          <w:b/>
          <w:sz w:val="24"/>
          <w:u w:val="single"/>
        </w:rPr>
      </w:pPr>
      <w:r>
        <w:rPr>
          <w:b/>
          <w:sz w:val="24"/>
          <w:u w:val="single"/>
        </w:rPr>
        <w:t>STATUTORY AUTHORITY</w:t>
      </w:r>
    </w:p>
    <w:p w14:paraId="558D03F7" w14:textId="77777777" w:rsidR="00FB6494" w:rsidRDefault="00FB6494" w:rsidP="00B144FF">
      <w:pPr>
        <w:pStyle w:val="NoSpacing"/>
        <w:jc w:val="both"/>
        <w:rPr>
          <w:b/>
          <w:sz w:val="24"/>
          <w:u w:val="single"/>
        </w:rPr>
      </w:pPr>
    </w:p>
    <w:p w14:paraId="1350F7D0" w14:textId="42F95F8A" w:rsidR="001805FE" w:rsidRDefault="001805FE" w:rsidP="00B144FF">
      <w:pPr>
        <w:autoSpaceDE w:val="0"/>
        <w:autoSpaceDN w:val="0"/>
        <w:adjustRightInd w:val="0"/>
        <w:rPr>
          <w:color w:val="000000"/>
          <w:sz w:val="24"/>
        </w:rPr>
      </w:pPr>
      <w:bookmarkStart w:id="0" w:name="_Hlk130296568"/>
      <w:r w:rsidRPr="001805FE">
        <w:rPr>
          <w:color w:val="000000"/>
          <w:sz w:val="24"/>
        </w:rPr>
        <w:t xml:space="preserve">C.R.S. §23-1-113. </w:t>
      </w:r>
      <w:bookmarkEnd w:id="0"/>
      <w:r w:rsidRPr="001805FE">
        <w:rPr>
          <w:color w:val="000000"/>
          <w:sz w:val="24"/>
        </w:rPr>
        <w:t xml:space="preserve">Commission directive - admission standards for baccalaureate and graduate institutions of higher education - policy – definitions </w:t>
      </w:r>
    </w:p>
    <w:p w14:paraId="73D3037A" w14:textId="77777777" w:rsidR="001805FE" w:rsidRPr="001805FE" w:rsidRDefault="001805FE" w:rsidP="00B144FF">
      <w:pPr>
        <w:autoSpaceDE w:val="0"/>
        <w:autoSpaceDN w:val="0"/>
        <w:adjustRightInd w:val="0"/>
        <w:rPr>
          <w:color w:val="000000"/>
          <w:sz w:val="24"/>
        </w:rPr>
      </w:pPr>
    </w:p>
    <w:p w14:paraId="016B297E" w14:textId="2BCEFC96" w:rsidR="00863631" w:rsidRDefault="00863631" w:rsidP="00784868">
      <w:pPr>
        <w:autoSpaceDE w:val="0"/>
        <w:autoSpaceDN w:val="0"/>
        <w:adjustRightInd w:val="0"/>
        <w:rPr>
          <w:b/>
          <w:bCs/>
          <w:color w:val="000000"/>
          <w:sz w:val="24"/>
        </w:rPr>
      </w:pPr>
      <w:r>
        <w:rPr>
          <w:rFonts w:ascii="inherit" w:hAnsi="inherit"/>
          <w:b/>
          <w:bCs/>
          <w:color w:val="212121"/>
          <w:sz w:val="18"/>
          <w:szCs w:val="18"/>
          <w:bdr w:val="none" w:sz="0" w:space="0" w:color="auto" w:frame="1"/>
          <w:shd w:val="clear" w:color="auto" w:fill="FFFFFF"/>
        </w:rPr>
        <w:br/>
      </w:r>
      <w:r>
        <w:rPr>
          <w:rStyle w:val="ssbf"/>
          <w:b/>
          <w:bCs/>
          <w:color w:val="212121"/>
          <w:sz w:val="24"/>
          <w:bdr w:val="none" w:sz="0" w:space="0" w:color="auto" w:frame="1"/>
          <w:shd w:val="clear" w:color="auto" w:fill="FFFFFF"/>
        </w:rPr>
        <w:t>(1)</w:t>
      </w:r>
      <w:r w:rsidRPr="00863631">
        <w:rPr>
          <w:rStyle w:val="ssbf"/>
          <w:b/>
          <w:bCs/>
          <w:color w:val="212121"/>
          <w:sz w:val="24"/>
          <w:bdr w:val="none" w:sz="0" w:space="0" w:color="auto" w:frame="1"/>
          <w:shd w:val="clear" w:color="auto" w:fill="FFFFFF"/>
        </w:rPr>
        <w:t>(a)</w:t>
      </w:r>
      <w:r w:rsidRPr="00863631">
        <w:rPr>
          <w:rStyle w:val="ssparalabel"/>
          <w:color w:val="212121"/>
          <w:sz w:val="24"/>
          <w:bdr w:val="none" w:sz="0" w:space="0" w:color="auto" w:frame="1"/>
          <w:shd w:val="clear" w:color="auto" w:fill="FFFFFF"/>
        </w:rPr>
        <w:t> </w:t>
      </w:r>
      <w:r w:rsidRPr="00863631">
        <w:rPr>
          <w:rStyle w:val="ssparacontent"/>
          <w:color w:val="212121"/>
          <w:sz w:val="24"/>
          <w:bdr w:val="none" w:sz="0" w:space="0" w:color="auto" w:frame="1"/>
          <w:shd w:val="clear" w:color="auto" w:fill="FFFFFF"/>
        </w:rPr>
        <w:t xml:space="preserve">Except as provided in subsection (1)(b) of this section, the commission shall </w:t>
      </w:r>
      <w:proofErr w:type="gramStart"/>
      <w:r w:rsidRPr="00863631">
        <w:rPr>
          <w:rStyle w:val="ssparacontent"/>
          <w:color w:val="212121"/>
          <w:sz w:val="24"/>
          <w:bdr w:val="none" w:sz="0" w:space="0" w:color="auto" w:frame="1"/>
          <w:shd w:val="clear" w:color="auto" w:fill="FFFFFF"/>
        </w:rPr>
        <w:t>establish</w:t>
      </w:r>
      <w:proofErr w:type="gramEnd"/>
      <w:r w:rsidRPr="00863631">
        <w:rPr>
          <w:rStyle w:val="ssparacontent"/>
          <w:color w:val="212121"/>
          <w:sz w:val="24"/>
          <w:bdr w:val="none" w:sz="0" w:space="0" w:color="auto" w:frame="1"/>
          <w:shd w:val="clear" w:color="auto" w:fill="FFFFFF"/>
        </w:rPr>
        <w:t xml:space="preserve"> and the governing boards shall implement academic admission standards for first-time freshmen and transfer students at all state-supported baccalaureate and graduate institutions of higher education in the state. The commission shall establish and may subsequently review and amend the standards after consultation with the governing boards of institutions. The academic admission </w:t>
      </w:r>
      <w:r w:rsidRPr="00863631">
        <w:rPr>
          <w:rStyle w:val="ssparacontent"/>
          <w:color w:val="212121"/>
          <w:sz w:val="24"/>
          <w:bdr w:val="none" w:sz="0" w:space="0" w:color="auto" w:frame="1"/>
          <w:shd w:val="clear" w:color="auto" w:fill="FFFFFF"/>
        </w:rPr>
        <w:lastRenderedPageBreak/>
        <w:t>standards for students who do not have in-state status, as determined pursuant to section 23-7-103, shall equal or exceed those established for determining admission of in-state students.</w:t>
      </w:r>
      <w:r w:rsidRPr="00863631">
        <w:rPr>
          <w:b/>
          <w:bCs/>
          <w:color w:val="000000"/>
          <w:sz w:val="24"/>
        </w:rPr>
        <w:t xml:space="preserve"> </w:t>
      </w:r>
    </w:p>
    <w:p w14:paraId="3EBCC80E" w14:textId="6B539873" w:rsidR="00863631" w:rsidRDefault="00863631" w:rsidP="00784868">
      <w:pPr>
        <w:autoSpaceDE w:val="0"/>
        <w:autoSpaceDN w:val="0"/>
        <w:adjustRightInd w:val="0"/>
        <w:rPr>
          <w:b/>
          <w:bCs/>
          <w:color w:val="000000"/>
          <w:sz w:val="24"/>
        </w:rPr>
      </w:pPr>
    </w:p>
    <w:p w14:paraId="010C6C0B" w14:textId="765A68F9" w:rsidR="00863631" w:rsidRPr="00863631" w:rsidRDefault="00863631" w:rsidP="00784868">
      <w:pPr>
        <w:autoSpaceDE w:val="0"/>
        <w:autoSpaceDN w:val="0"/>
        <w:adjustRightInd w:val="0"/>
        <w:rPr>
          <w:i/>
          <w:iCs/>
          <w:color w:val="000000"/>
          <w:sz w:val="24"/>
        </w:rPr>
      </w:pPr>
      <w:r w:rsidRPr="00863631">
        <w:rPr>
          <w:i/>
          <w:iCs/>
          <w:color w:val="000000"/>
          <w:sz w:val="24"/>
        </w:rPr>
        <w:t>(1)(b) specific to first-time freshmen admission standards.</w:t>
      </w:r>
    </w:p>
    <w:p w14:paraId="74B73635" w14:textId="77777777" w:rsidR="00863631" w:rsidRDefault="00863631" w:rsidP="00784868">
      <w:pPr>
        <w:autoSpaceDE w:val="0"/>
        <w:autoSpaceDN w:val="0"/>
        <w:adjustRightInd w:val="0"/>
        <w:rPr>
          <w:b/>
          <w:bCs/>
          <w:color w:val="000000"/>
          <w:sz w:val="24"/>
        </w:rPr>
      </w:pPr>
    </w:p>
    <w:p w14:paraId="50B70ABA" w14:textId="07236A71" w:rsidR="00784868" w:rsidRPr="00784868" w:rsidRDefault="00784868" w:rsidP="00784868">
      <w:pPr>
        <w:autoSpaceDE w:val="0"/>
        <w:autoSpaceDN w:val="0"/>
        <w:adjustRightInd w:val="0"/>
        <w:rPr>
          <w:color w:val="000000"/>
          <w:sz w:val="24"/>
        </w:rPr>
      </w:pPr>
      <w:bookmarkStart w:id="1" w:name="_Hlk130296560"/>
      <w:r w:rsidRPr="00784868">
        <w:rPr>
          <w:b/>
          <w:bCs/>
          <w:color w:val="000000"/>
          <w:sz w:val="24"/>
        </w:rPr>
        <w:t>(c)</w:t>
      </w:r>
      <w:r w:rsidRPr="00784868">
        <w:rPr>
          <w:color w:val="000000"/>
          <w:sz w:val="24"/>
        </w:rPr>
        <w:t xml:space="preserve"> The standards established for transfer students must use college academic performance indicators as the eligibility criteria for admitted transfer students. The academic performance indicators </w:t>
      </w:r>
      <w:r w:rsidRPr="009535C5">
        <w:rPr>
          <w:b/>
          <w:bCs/>
          <w:color w:val="000000"/>
          <w:sz w:val="24"/>
        </w:rPr>
        <w:t>may</w:t>
      </w:r>
      <w:r w:rsidRPr="00784868">
        <w:rPr>
          <w:color w:val="000000"/>
          <w:sz w:val="24"/>
        </w:rPr>
        <w:t xml:space="preserve"> include but are not limited to grade point average, credit hours completed, and successful completion of developmental education courses, if required and as appropriate considering the role and mission of the receiving institution. In lieu of such criteria, additional criteria may be used for up to twenty percent of the admitted transfer students. The academic admission standards and policies established for transfer students must be consistent with the student transfer agreements established by the commission pursuant to section 23-1-108 (7)(f). Students who meet the minimum criteria for admission are not guaranteed admission to the institution to which they have applied, but they are eligible for consideration.</w:t>
      </w:r>
    </w:p>
    <w:bookmarkEnd w:id="1"/>
    <w:p w14:paraId="374B8FA7" w14:textId="77777777" w:rsidR="001805FE" w:rsidRDefault="001805FE" w:rsidP="00B144FF">
      <w:pPr>
        <w:pStyle w:val="NoSpacing"/>
        <w:ind w:left="720"/>
        <w:jc w:val="both"/>
        <w:rPr>
          <w:b/>
          <w:sz w:val="24"/>
          <w:u w:val="single"/>
        </w:rPr>
      </w:pPr>
    </w:p>
    <w:p w14:paraId="1E55DC42" w14:textId="642B8EAB" w:rsidR="00A621CA" w:rsidRDefault="00A621CA" w:rsidP="00B144FF">
      <w:pPr>
        <w:pStyle w:val="NoSpacing"/>
        <w:jc w:val="both"/>
        <w:rPr>
          <w:b/>
          <w:sz w:val="24"/>
        </w:rPr>
      </w:pPr>
      <w:r w:rsidRPr="00DF1E25">
        <w:rPr>
          <w:b/>
          <w:sz w:val="24"/>
        </w:rPr>
        <w:t>ATTACHMENT</w:t>
      </w:r>
      <w:r w:rsidR="00FB6494">
        <w:rPr>
          <w:b/>
          <w:sz w:val="24"/>
        </w:rPr>
        <w:t>(S)</w:t>
      </w:r>
      <w:r w:rsidRPr="00DF1E25">
        <w:rPr>
          <w:b/>
          <w:sz w:val="24"/>
        </w:rPr>
        <w:t>:</w:t>
      </w:r>
    </w:p>
    <w:p w14:paraId="760D2CA8" w14:textId="72771081" w:rsidR="001805FE" w:rsidRDefault="001805FE" w:rsidP="00B144FF">
      <w:pPr>
        <w:pStyle w:val="NoSpacing"/>
        <w:jc w:val="both"/>
        <w:rPr>
          <w:b/>
          <w:sz w:val="24"/>
        </w:rPr>
      </w:pPr>
    </w:p>
    <w:p w14:paraId="5CC11F38" w14:textId="050B7DC6" w:rsidR="001805FE" w:rsidRPr="001805FE" w:rsidRDefault="001805FE" w:rsidP="00B144FF">
      <w:pPr>
        <w:pStyle w:val="NoSpacing"/>
        <w:jc w:val="both"/>
        <w:rPr>
          <w:b/>
          <w:sz w:val="24"/>
        </w:rPr>
      </w:pPr>
      <w:bookmarkStart w:id="2" w:name="_Hlk72752459"/>
      <w:r w:rsidRPr="001805FE">
        <w:rPr>
          <w:sz w:val="24"/>
        </w:rPr>
        <w:t xml:space="preserve">Attachment A: </w:t>
      </w:r>
      <w:r w:rsidR="00620B99">
        <w:rPr>
          <w:sz w:val="24"/>
        </w:rPr>
        <w:t>Section I Part F</w:t>
      </w:r>
      <w:r w:rsidR="00BF077B">
        <w:rPr>
          <w:sz w:val="24"/>
        </w:rPr>
        <w:t xml:space="preserve"> </w:t>
      </w:r>
      <w:r w:rsidRPr="001805FE">
        <w:rPr>
          <w:sz w:val="24"/>
        </w:rPr>
        <w:t>Proposed Revisions to the Admission Policy.</w:t>
      </w:r>
    </w:p>
    <w:bookmarkEnd w:id="2"/>
    <w:p w14:paraId="5EEF8B3E" w14:textId="77777777" w:rsidR="006E09E9" w:rsidRPr="00DF1E25" w:rsidRDefault="006E09E9" w:rsidP="00B144FF">
      <w:pPr>
        <w:pStyle w:val="NoSpacing"/>
        <w:rPr>
          <w:sz w:val="24"/>
        </w:rPr>
      </w:pPr>
    </w:p>
    <w:p w14:paraId="26BDBD5D" w14:textId="77777777" w:rsidR="00DF1E25" w:rsidRPr="00DF1E25" w:rsidRDefault="00DF1E25" w:rsidP="00B144FF">
      <w:pPr>
        <w:pStyle w:val="NoSpacing"/>
        <w:rPr>
          <w:sz w:val="24"/>
        </w:rPr>
      </w:pPr>
    </w:p>
    <w:sectPr w:rsidR="00DF1E25" w:rsidRPr="00DF1E25"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FB8D" w14:textId="77777777" w:rsidR="00630958" w:rsidRDefault="00630958">
      <w:r>
        <w:separator/>
      </w:r>
    </w:p>
  </w:endnote>
  <w:endnote w:type="continuationSeparator" w:id="0">
    <w:p w14:paraId="54C9BCF5" w14:textId="77777777" w:rsidR="00630958" w:rsidRDefault="006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CAC7" w14:textId="77777777" w:rsidR="00630958" w:rsidRDefault="00630958">
      <w:r>
        <w:separator/>
      </w:r>
    </w:p>
  </w:footnote>
  <w:footnote w:type="continuationSeparator" w:id="0">
    <w:p w14:paraId="47BA0E82" w14:textId="77777777" w:rsidR="00630958" w:rsidRDefault="006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6E09E9" w:rsidRPr="0070065C" w14:paraId="0359A5CE" w14:textId="77777777" w:rsidTr="006E09E9">
      <w:tc>
        <w:tcPr>
          <w:tcW w:w="6228" w:type="dxa"/>
        </w:tcPr>
        <w:p w14:paraId="21DB2CCF" w14:textId="77777777" w:rsidR="006E09E9" w:rsidRPr="0070065C" w:rsidRDefault="006E09E9"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7052CE73" w14:textId="6C728123" w:rsidR="006E09E9" w:rsidRPr="0070065C" w:rsidRDefault="00772D56" w:rsidP="00DF1E25">
          <w:pPr>
            <w:pStyle w:val="Header"/>
            <w:tabs>
              <w:tab w:val="clear" w:pos="8640"/>
              <w:tab w:val="left" w:pos="4320"/>
            </w:tabs>
            <w:rPr>
              <w:sz w:val="24"/>
            </w:rPr>
          </w:pPr>
          <w:r>
            <w:rPr>
              <w:sz w:val="24"/>
            </w:rPr>
            <w:t>April 7</w:t>
          </w:r>
          <w:r w:rsidR="006E09E9" w:rsidRPr="0070065C">
            <w:rPr>
              <w:sz w:val="24"/>
            </w:rPr>
            <w:t xml:space="preserve">, </w:t>
          </w:r>
          <w:proofErr w:type="gramStart"/>
          <w:r w:rsidR="006E09E9" w:rsidRPr="0070065C">
            <w:rPr>
              <w:sz w:val="24"/>
            </w:rPr>
            <w:t>2</w:t>
          </w:r>
          <w:r w:rsidR="00253055">
            <w:rPr>
              <w:sz w:val="24"/>
            </w:rPr>
            <w:t>02</w:t>
          </w:r>
          <w:r>
            <w:rPr>
              <w:sz w:val="24"/>
            </w:rPr>
            <w:t>3</w:t>
          </w:r>
          <w:proofErr w:type="gramEnd"/>
          <w:r w:rsidR="00DF1E25" w:rsidRPr="0070065C">
            <w:rPr>
              <w:sz w:val="24"/>
            </w:rPr>
            <w:tab/>
          </w:r>
        </w:p>
      </w:tc>
      <w:tc>
        <w:tcPr>
          <w:tcW w:w="3348" w:type="dxa"/>
        </w:tcPr>
        <w:p w14:paraId="33C6F608" w14:textId="778EFD87" w:rsidR="006E09E9" w:rsidRPr="0070065C" w:rsidRDefault="006E09E9" w:rsidP="006E09E9">
          <w:pPr>
            <w:pStyle w:val="Header"/>
            <w:tabs>
              <w:tab w:val="clear" w:pos="8640"/>
              <w:tab w:val="right" w:pos="9360"/>
            </w:tabs>
            <w:jc w:val="right"/>
            <w:rPr>
              <w:sz w:val="24"/>
            </w:rPr>
          </w:pPr>
          <w:r w:rsidRPr="0070065C">
            <w:rPr>
              <w:sz w:val="24"/>
            </w:rPr>
            <w:t>Agenda Item I</w:t>
          </w:r>
          <w:r w:rsidR="00D006F9" w:rsidRPr="0070065C">
            <w:rPr>
              <w:sz w:val="24"/>
            </w:rPr>
            <w:t>I</w:t>
          </w:r>
          <w:r w:rsidR="006D6847">
            <w:rPr>
              <w:sz w:val="24"/>
            </w:rPr>
            <w:t>I</w:t>
          </w:r>
          <w:r w:rsidRPr="0070065C">
            <w:rPr>
              <w:sz w:val="24"/>
            </w:rPr>
            <w:t xml:space="preserve">, </w:t>
          </w:r>
          <w:r w:rsidR="006D6847">
            <w:rPr>
              <w:sz w:val="24"/>
            </w:rPr>
            <w:t>A</w:t>
          </w:r>
        </w:p>
        <w:p w14:paraId="72D96C3E" w14:textId="77777777" w:rsidR="006E09E9" w:rsidRPr="0070065C" w:rsidRDefault="006E09E9" w:rsidP="006E09E9">
          <w:pPr>
            <w:pStyle w:val="Header"/>
            <w:tabs>
              <w:tab w:val="clear" w:pos="8640"/>
              <w:tab w:val="right" w:pos="9360"/>
            </w:tabs>
            <w:jc w:val="right"/>
            <w:rPr>
              <w:rStyle w:val="PageNumber"/>
              <w:sz w:val="24"/>
            </w:rPr>
          </w:pPr>
          <w:r w:rsidRPr="0070065C">
            <w:rPr>
              <w:rStyle w:val="PageNumber"/>
              <w:sz w:val="24"/>
            </w:rPr>
            <w:t xml:space="preserve">Page </w:t>
          </w:r>
          <w:r w:rsidR="00FA468C" w:rsidRPr="0070065C">
            <w:rPr>
              <w:rStyle w:val="PageNumber"/>
              <w:sz w:val="24"/>
            </w:rPr>
            <w:fldChar w:fldCharType="begin"/>
          </w:r>
          <w:r w:rsidRPr="0070065C">
            <w:rPr>
              <w:rStyle w:val="PageNumber"/>
              <w:sz w:val="24"/>
            </w:rPr>
            <w:instrText xml:space="preserve"> PAGE </w:instrText>
          </w:r>
          <w:r w:rsidR="00FA468C" w:rsidRPr="0070065C">
            <w:rPr>
              <w:rStyle w:val="PageNumber"/>
              <w:sz w:val="24"/>
            </w:rPr>
            <w:fldChar w:fldCharType="separate"/>
          </w:r>
          <w:r w:rsidR="00EB1755">
            <w:rPr>
              <w:rStyle w:val="PageNumber"/>
              <w:noProof/>
              <w:sz w:val="24"/>
            </w:rPr>
            <w:t>1</w:t>
          </w:r>
          <w:r w:rsidR="00FA468C" w:rsidRPr="0070065C">
            <w:rPr>
              <w:rStyle w:val="PageNumber"/>
              <w:sz w:val="24"/>
            </w:rPr>
            <w:fldChar w:fldCharType="end"/>
          </w:r>
          <w:r w:rsidRPr="0070065C">
            <w:rPr>
              <w:rStyle w:val="PageNumber"/>
              <w:sz w:val="24"/>
            </w:rPr>
            <w:t xml:space="preserve"> of </w:t>
          </w:r>
          <w:r w:rsidR="00FA468C" w:rsidRPr="0070065C">
            <w:rPr>
              <w:rStyle w:val="PageNumber"/>
              <w:sz w:val="24"/>
            </w:rPr>
            <w:fldChar w:fldCharType="begin"/>
          </w:r>
          <w:r w:rsidRPr="0070065C">
            <w:rPr>
              <w:rStyle w:val="PageNumber"/>
              <w:sz w:val="24"/>
            </w:rPr>
            <w:instrText xml:space="preserve"> NUMPAGES </w:instrText>
          </w:r>
          <w:r w:rsidR="00FA468C" w:rsidRPr="0070065C">
            <w:rPr>
              <w:rStyle w:val="PageNumber"/>
              <w:sz w:val="24"/>
            </w:rPr>
            <w:fldChar w:fldCharType="separate"/>
          </w:r>
          <w:r w:rsidR="00EB1755">
            <w:rPr>
              <w:rStyle w:val="PageNumber"/>
              <w:noProof/>
              <w:sz w:val="24"/>
            </w:rPr>
            <w:t>1</w:t>
          </w:r>
          <w:r w:rsidR="00FA468C" w:rsidRPr="0070065C">
            <w:rPr>
              <w:rStyle w:val="PageNumber"/>
              <w:sz w:val="24"/>
            </w:rPr>
            <w:fldChar w:fldCharType="end"/>
          </w:r>
        </w:p>
        <w:p w14:paraId="1A1A707A" w14:textId="251DB087" w:rsidR="006E09E9" w:rsidRPr="0070065C" w:rsidRDefault="006D6847" w:rsidP="006E09E9">
          <w:pPr>
            <w:pStyle w:val="Header"/>
            <w:tabs>
              <w:tab w:val="clear" w:pos="8640"/>
              <w:tab w:val="right" w:pos="9360"/>
            </w:tabs>
            <w:jc w:val="right"/>
            <w:rPr>
              <w:sz w:val="24"/>
            </w:rPr>
          </w:pPr>
          <w:r>
            <w:rPr>
              <w:rStyle w:val="PageNumber"/>
              <w:sz w:val="24"/>
              <w:u w:val="single"/>
            </w:rPr>
            <w:t>Action</w:t>
          </w:r>
          <w:r w:rsidR="006E09E9" w:rsidRPr="0070065C">
            <w:rPr>
              <w:rStyle w:val="PageNumber"/>
              <w:sz w:val="24"/>
              <w:u w:val="single"/>
            </w:rPr>
            <w:t xml:space="preserve"> Item</w:t>
          </w:r>
        </w:p>
      </w:tc>
    </w:tr>
  </w:tbl>
  <w:p w14:paraId="213A8D21" w14:textId="77777777" w:rsidR="00883FA1" w:rsidRPr="0070065C" w:rsidRDefault="00883FA1"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3F15445"/>
    <w:multiLevelType w:val="hybridMultilevel"/>
    <w:tmpl w:val="2D7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41CC1"/>
    <w:multiLevelType w:val="hybridMultilevel"/>
    <w:tmpl w:val="9F08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59019C"/>
    <w:multiLevelType w:val="hybridMultilevel"/>
    <w:tmpl w:val="8B34EFE8"/>
    <w:lvl w:ilvl="0" w:tplc="7470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42"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7"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563635">
    <w:abstractNumId w:val="35"/>
  </w:num>
  <w:num w:numId="2" w16cid:durableId="600769557">
    <w:abstractNumId w:val="6"/>
  </w:num>
  <w:num w:numId="3" w16cid:durableId="1272738088">
    <w:abstractNumId w:val="26"/>
  </w:num>
  <w:num w:numId="4" w16cid:durableId="1048991628">
    <w:abstractNumId w:val="29"/>
  </w:num>
  <w:num w:numId="5" w16cid:durableId="1918392155">
    <w:abstractNumId w:val="47"/>
  </w:num>
  <w:num w:numId="6" w16cid:durableId="1252472662">
    <w:abstractNumId w:val="46"/>
  </w:num>
  <w:num w:numId="7" w16cid:durableId="1332098527">
    <w:abstractNumId w:val="24"/>
  </w:num>
  <w:num w:numId="8" w16cid:durableId="1177891279">
    <w:abstractNumId w:val="9"/>
  </w:num>
  <w:num w:numId="9" w16cid:durableId="2012175871">
    <w:abstractNumId w:val="8"/>
  </w:num>
  <w:num w:numId="10" w16cid:durableId="1639800500">
    <w:abstractNumId w:val="36"/>
  </w:num>
  <w:num w:numId="11" w16cid:durableId="1793211168">
    <w:abstractNumId w:val="4"/>
  </w:num>
  <w:num w:numId="12" w16cid:durableId="1702123603">
    <w:abstractNumId w:val="39"/>
  </w:num>
  <w:num w:numId="13" w16cid:durableId="1712653226">
    <w:abstractNumId w:val="16"/>
  </w:num>
  <w:num w:numId="14" w16cid:durableId="1798990078">
    <w:abstractNumId w:val="15"/>
  </w:num>
  <w:num w:numId="15" w16cid:durableId="1367221286">
    <w:abstractNumId w:val="44"/>
  </w:num>
  <w:num w:numId="16" w16cid:durableId="269707029">
    <w:abstractNumId w:val="28"/>
  </w:num>
  <w:num w:numId="17" w16cid:durableId="21056094">
    <w:abstractNumId w:val="31"/>
  </w:num>
  <w:num w:numId="18" w16cid:durableId="1702633842">
    <w:abstractNumId w:val="33"/>
  </w:num>
  <w:num w:numId="19" w16cid:durableId="1625693141">
    <w:abstractNumId w:val="42"/>
  </w:num>
  <w:num w:numId="20" w16cid:durableId="1180124177">
    <w:abstractNumId w:val="23"/>
  </w:num>
  <w:num w:numId="21" w16cid:durableId="1393845953">
    <w:abstractNumId w:val="14"/>
  </w:num>
  <w:num w:numId="22" w16cid:durableId="960306564">
    <w:abstractNumId w:val="18"/>
  </w:num>
  <w:num w:numId="23" w16cid:durableId="1562903323">
    <w:abstractNumId w:val="20"/>
  </w:num>
  <w:num w:numId="24" w16cid:durableId="1122923943">
    <w:abstractNumId w:val="30"/>
  </w:num>
  <w:num w:numId="25" w16cid:durableId="1313412082">
    <w:abstractNumId w:val="25"/>
  </w:num>
  <w:num w:numId="26" w16cid:durableId="1091662675">
    <w:abstractNumId w:val="48"/>
  </w:num>
  <w:num w:numId="27" w16cid:durableId="938214757">
    <w:abstractNumId w:val="1"/>
  </w:num>
  <w:num w:numId="28" w16cid:durableId="65341733">
    <w:abstractNumId w:val="3"/>
  </w:num>
  <w:num w:numId="29" w16cid:durableId="1882086156">
    <w:abstractNumId w:val="13"/>
  </w:num>
  <w:num w:numId="30" w16cid:durableId="973294689">
    <w:abstractNumId w:val="12"/>
  </w:num>
  <w:num w:numId="31" w16cid:durableId="2076271736">
    <w:abstractNumId w:val="11"/>
  </w:num>
  <w:num w:numId="32" w16cid:durableId="1905414449">
    <w:abstractNumId w:val="27"/>
  </w:num>
  <w:num w:numId="33" w16cid:durableId="355430128">
    <w:abstractNumId w:val="21"/>
  </w:num>
  <w:num w:numId="34" w16cid:durableId="297078774">
    <w:abstractNumId w:val="0"/>
  </w:num>
  <w:num w:numId="35" w16cid:durableId="28191548">
    <w:abstractNumId w:val="17"/>
  </w:num>
  <w:num w:numId="36" w16cid:durableId="452601319">
    <w:abstractNumId w:val="10"/>
  </w:num>
  <w:num w:numId="37" w16cid:durableId="1717271929">
    <w:abstractNumId w:val="37"/>
  </w:num>
  <w:num w:numId="38" w16cid:durableId="1626276123">
    <w:abstractNumId w:val="7"/>
  </w:num>
  <w:num w:numId="39" w16cid:durableId="1854494254">
    <w:abstractNumId w:val="41"/>
  </w:num>
  <w:num w:numId="40" w16cid:durableId="1803421636">
    <w:abstractNumId w:val="34"/>
  </w:num>
  <w:num w:numId="41" w16cid:durableId="153883871">
    <w:abstractNumId w:val="2"/>
  </w:num>
  <w:num w:numId="42" w16cid:durableId="957369898">
    <w:abstractNumId w:val="45"/>
  </w:num>
  <w:num w:numId="43" w16cid:durableId="733624963">
    <w:abstractNumId w:val="38"/>
  </w:num>
  <w:num w:numId="44" w16cid:durableId="839586230">
    <w:abstractNumId w:val="49"/>
  </w:num>
  <w:num w:numId="45" w16cid:durableId="1385758932">
    <w:abstractNumId w:val="5"/>
  </w:num>
  <w:num w:numId="46" w16cid:durableId="1642929317">
    <w:abstractNumId w:val="43"/>
  </w:num>
  <w:num w:numId="47" w16cid:durableId="955671811">
    <w:abstractNumId w:val="19"/>
  </w:num>
  <w:num w:numId="48" w16cid:durableId="1405224535">
    <w:abstractNumId w:val="32"/>
  </w:num>
  <w:num w:numId="49" w16cid:durableId="1234465845">
    <w:abstractNumId w:val="22"/>
  </w:num>
  <w:num w:numId="50" w16cid:durableId="19373964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686B"/>
    <w:rsid w:val="00026510"/>
    <w:rsid w:val="00030213"/>
    <w:rsid w:val="0003250C"/>
    <w:rsid w:val="00035107"/>
    <w:rsid w:val="00040EF9"/>
    <w:rsid w:val="0004339F"/>
    <w:rsid w:val="00044023"/>
    <w:rsid w:val="00050A1D"/>
    <w:rsid w:val="0006093A"/>
    <w:rsid w:val="00060EEA"/>
    <w:rsid w:val="00061F71"/>
    <w:rsid w:val="00070B3B"/>
    <w:rsid w:val="00076EE3"/>
    <w:rsid w:val="00092664"/>
    <w:rsid w:val="0009493D"/>
    <w:rsid w:val="00097FB2"/>
    <w:rsid w:val="000B305A"/>
    <w:rsid w:val="000C15A4"/>
    <w:rsid w:val="000C5698"/>
    <w:rsid w:val="000D0D9A"/>
    <w:rsid w:val="000D2F1B"/>
    <w:rsid w:val="000E1248"/>
    <w:rsid w:val="000F0BBD"/>
    <w:rsid w:val="000F42CE"/>
    <w:rsid w:val="00101888"/>
    <w:rsid w:val="001051B9"/>
    <w:rsid w:val="00106263"/>
    <w:rsid w:val="001200E3"/>
    <w:rsid w:val="00124F24"/>
    <w:rsid w:val="00147BC2"/>
    <w:rsid w:val="0015631F"/>
    <w:rsid w:val="001567C8"/>
    <w:rsid w:val="0016043F"/>
    <w:rsid w:val="001647B8"/>
    <w:rsid w:val="001805FE"/>
    <w:rsid w:val="001B0DB0"/>
    <w:rsid w:val="001B22F3"/>
    <w:rsid w:val="001B3A22"/>
    <w:rsid w:val="001B4476"/>
    <w:rsid w:val="001B5CF5"/>
    <w:rsid w:val="001C7E78"/>
    <w:rsid w:val="001D1903"/>
    <w:rsid w:val="001E51FE"/>
    <w:rsid w:val="001E5FA1"/>
    <w:rsid w:val="00203D9F"/>
    <w:rsid w:val="00204093"/>
    <w:rsid w:val="002118C4"/>
    <w:rsid w:val="00211E87"/>
    <w:rsid w:val="002137A6"/>
    <w:rsid w:val="002149B6"/>
    <w:rsid w:val="00215627"/>
    <w:rsid w:val="00216B2E"/>
    <w:rsid w:val="00221049"/>
    <w:rsid w:val="0022295A"/>
    <w:rsid w:val="0023725B"/>
    <w:rsid w:val="00237655"/>
    <w:rsid w:val="0024243D"/>
    <w:rsid w:val="00250162"/>
    <w:rsid w:val="00253055"/>
    <w:rsid w:val="0025392B"/>
    <w:rsid w:val="002656B0"/>
    <w:rsid w:val="00265D7F"/>
    <w:rsid w:val="00285299"/>
    <w:rsid w:val="00290AA6"/>
    <w:rsid w:val="002A0220"/>
    <w:rsid w:val="002A751A"/>
    <w:rsid w:val="002C0AEE"/>
    <w:rsid w:val="002D435B"/>
    <w:rsid w:val="0030081D"/>
    <w:rsid w:val="003011E0"/>
    <w:rsid w:val="00303291"/>
    <w:rsid w:val="0030665E"/>
    <w:rsid w:val="00306778"/>
    <w:rsid w:val="003132B3"/>
    <w:rsid w:val="0031476D"/>
    <w:rsid w:val="00322FFB"/>
    <w:rsid w:val="00337D4E"/>
    <w:rsid w:val="00341CA8"/>
    <w:rsid w:val="0036667C"/>
    <w:rsid w:val="003729F5"/>
    <w:rsid w:val="003811EF"/>
    <w:rsid w:val="00383DAA"/>
    <w:rsid w:val="00391CBC"/>
    <w:rsid w:val="00391DED"/>
    <w:rsid w:val="003932EF"/>
    <w:rsid w:val="003A1535"/>
    <w:rsid w:val="003B0884"/>
    <w:rsid w:val="003C0E3A"/>
    <w:rsid w:val="003C54A6"/>
    <w:rsid w:val="003C7349"/>
    <w:rsid w:val="003E156A"/>
    <w:rsid w:val="003E5889"/>
    <w:rsid w:val="003F4BEA"/>
    <w:rsid w:val="004001DB"/>
    <w:rsid w:val="0040346E"/>
    <w:rsid w:val="004106A5"/>
    <w:rsid w:val="004179C4"/>
    <w:rsid w:val="00425417"/>
    <w:rsid w:val="00427275"/>
    <w:rsid w:val="004344A5"/>
    <w:rsid w:val="00440082"/>
    <w:rsid w:val="00444A2E"/>
    <w:rsid w:val="00454641"/>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6DC0"/>
    <w:rsid w:val="004F7530"/>
    <w:rsid w:val="00504208"/>
    <w:rsid w:val="005052C3"/>
    <w:rsid w:val="00510E7F"/>
    <w:rsid w:val="005174EA"/>
    <w:rsid w:val="00533E5A"/>
    <w:rsid w:val="005408E7"/>
    <w:rsid w:val="00542069"/>
    <w:rsid w:val="00544FE5"/>
    <w:rsid w:val="005454D6"/>
    <w:rsid w:val="00556465"/>
    <w:rsid w:val="0056256E"/>
    <w:rsid w:val="00566A39"/>
    <w:rsid w:val="00570D90"/>
    <w:rsid w:val="00571946"/>
    <w:rsid w:val="0059004D"/>
    <w:rsid w:val="00592876"/>
    <w:rsid w:val="005928FB"/>
    <w:rsid w:val="00597638"/>
    <w:rsid w:val="00597D47"/>
    <w:rsid w:val="005A3C96"/>
    <w:rsid w:val="005B1CAF"/>
    <w:rsid w:val="005B49A4"/>
    <w:rsid w:val="005B74D3"/>
    <w:rsid w:val="005C24B1"/>
    <w:rsid w:val="005C3414"/>
    <w:rsid w:val="005C42DC"/>
    <w:rsid w:val="005C56F2"/>
    <w:rsid w:val="005C7D9C"/>
    <w:rsid w:val="005D07F0"/>
    <w:rsid w:val="005D32F9"/>
    <w:rsid w:val="005E461F"/>
    <w:rsid w:val="005E6C55"/>
    <w:rsid w:val="00611247"/>
    <w:rsid w:val="00613BA7"/>
    <w:rsid w:val="006144DD"/>
    <w:rsid w:val="00616908"/>
    <w:rsid w:val="006177E0"/>
    <w:rsid w:val="00620B99"/>
    <w:rsid w:val="006214AA"/>
    <w:rsid w:val="00630958"/>
    <w:rsid w:val="00641F49"/>
    <w:rsid w:val="0065236C"/>
    <w:rsid w:val="00653383"/>
    <w:rsid w:val="00657E00"/>
    <w:rsid w:val="00667ED2"/>
    <w:rsid w:val="00670728"/>
    <w:rsid w:val="006708D5"/>
    <w:rsid w:val="00676FC2"/>
    <w:rsid w:val="006813E1"/>
    <w:rsid w:val="00684982"/>
    <w:rsid w:val="0068706E"/>
    <w:rsid w:val="006A41C6"/>
    <w:rsid w:val="006A630D"/>
    <w:rsid w:val="006C4577"/>
    <w:rsid w:val="006C7B23"/>
    <w:rsid w:val="006D6847"/>
    <w:rsid w:val="006E09E9"/>
    <w:rsid w:val="006F629E"/>
    <w:rsid w:val="0070065C"/>
    <w:rsid w:val="00702C52"/>
    <w:rsid w:val="0070705F"/>
    <w:rsid w:val="00717DF6"/>
    <w:rsid w:val="007277A5"/>
    <w:rsid w:val="00743626"/>
    <w:rsid w:val="007530F6"/>
    <w:rsid w:val="00755BE7"/>
    <w:rsid w:val="00762127"/>
    <w:rsid w:val="00763CAE"/>
    <w:rsid w:val="007719D2"/>
    <w:rsid w:val="00772D56"/>
    <w:rsid w:val="00773EDF"/>
    <w:rsid w:val="00784868"/>
    <w:rsid w:val="00784E93"/>
    <w:rsid w:val="007B1B16"/>
    <w:rsid w:val="007C29F8"/>
    <w:rsid w:val="007C7130"/>
    <w:rsid w:val="007C7C2A"/>
    <w:rsid w:val="007F0D6E"/>
    <w:rsid w:val="007F3EF9"/>
    <w:rsid w:val="007F7B98"/>
    <w:rsid w:val="008000ED"/>
    <w:rsid w:val="00802AEB"/>
    <w:rsid w:val="008039BE"/>
    <w:rsid w:val="0080753C"/>
    <w:rsid w:val="00812E7C"/>
    <w:rsid w:val="00820E1A"/>
    <w:rsid w:val="00821C53"/>
    <w:rsid w:val="00823058"/>
    <w:rsid w:val="00831765"/>
    <w:rsid w:val="008432AE"/>
    <w:rsid w:val="0084405F"/>
    <w:rsid w:val="00860525"/>
    <w:rsid w:val="00863631"/>
    <w:rsid w:val="00864E4E"/>
    <w:rsid w:val="00873447"/>
    <w:rsid w:val="00876A33"/>
    <w:rsid w:val="00880D1A"/>
    <w:rsid w:val="008811B3"/>
    <w:rsid w:val="00883FA1"/>
    <w:rsid w:val="00886080"/>
    <w:rsid w:val="008867DE"/>
    <w:rsid w:val="00891919"/>
    <w:rsid w:val="008974E5"/>
    <w:rsid w:val="008D2758"/>
    <w:rsid w:val="008D3016"/>
    <w:rsid w:val="008E78F1"/>
    <w:rsid w:val="008F0C80"/>
    <w:rsid w:val="008F3C32"/>
    <w:rsid w:val="00902C67"/>
    <w:rsid w:val="00907698"/>
    <w:rsid w:val="00921955"/>
    <w:rsid w:val="00922670"/>
    <w:rsid w:val="0092279B"/>
    <w:rsid w:val="00924DB0"/>
    <w:rsid w:val="00934B75"/>
    <w:rsid w:val="009432A2"/>
    <w:rsid w:val="0095338A"/>
    <w:rsid w:val="009535C5"/>
    <w:rsid w:val="009564E4"/>
    <w:rsid w:val="009704D5"/>
    <w:rsid w:val="00974B85"/>
    <w:rsid w:val="0098104D"/>
    <w:rsid w:val="009858D8"/>
    <w:rsid w:val="0098768C"/>
    <w:rsid w:val="0099633C"/>
    <w:rsid w:val="00996B32"/>
    <w:rsid w:val="009A0F7B"/>
    <w:rsid w:val="009A1654"/>
    <w:rsid w:val="009A3504"/>
    <w:rsid w:val="009A612A"/>
    <w:rsid w:val="009A737B"/>
    <w:rsid w:val="009C0D51"/>
    <w:rsid w:val="009C3068"/>
    <w:rsid w:val="009C6280"/>
    <w:rsid w:val="009D40D9"/>
    <w:rsid w:val="009E495E"/>
    <w:rsid w:val="009F3686"/>
    <w:rsid w:val="009F57D6"/>
    <w:rsid w:val="009F5AE3"/>
    <w:rsid w:val="00A17625"/>
    <w:rsid w:val="00A22CA2"/>
    <w:rsid w:val="00A31D4B"/>
    <w:rsid w:val="00A32A6C"/>
    <w:rsid w:val="00A349EA"/>
    <w:rsid w:val="00A45595"/>
    <w:rsid w:val="00A54520"/>
    <w:rsid w:val="00A621CA"/>
    <w:rsid w:val="00A70191"/>
    <w:rsid w:val="00A70B7F"/>
    <w:rsid w:val="00A71198"/>
    <w:rsid w:val="00A77376"/>
    <w:rsid w:val="00A8330B"/>
    <w:rsid w:val="00A83C9E"/>
    <w:rsid w:val="00A850D7"/>
    <w:rsid w:val="00A91D43"/>
    <w:rsid w:val="00A91EAB"/>
    <w:rsid w:val="00A93E8D"/>
    <w:rsid w:val="00AA4CE4"/>
    <w:rsid w:val="00AA7093"/>
    <w:rsid w:val="00AE21A7"/>
    <w:rsid w:val="00AE62E0"/>
    <w:rsid w:val="00AF7C44"/>
    <w:rsid w:val="00B03423"/>
    <w:rsid w:val="00B05143"/>
    <w:rsid w:val="00B053C1"/>
    <w:rsid w:val="00B126EC"/>
    <w:rsid w:val="00B129A0"/>
    <w:rsid w:val="00B144FF"/>
    <w:rsid w:val="00B22634"/>
    <w:rsid w:val="00B2264B"/>
    <w:rsid w:val="00B2531F"/>
    <w:rsid w:val="00B26183"/>
    <w:rsid w:val="00B408F9"/>
    <w:rsid w:val="00B5187B"/>
    <w:rsid w:val="00B60DF1"/>
    <w:rsid w:val="00B74CAA"/>
    <w:rsid w:val="00B86ACA"/>
    <w:rsid w:val="00B908E3"/>
    <w:rsid w:val="00BA5C46"/>
    <w:rsid w:val="00BA5E9B"/>
    <w:rsid w:val="00BB4BDF"/>
    <w:rsid w:val="00BB7FF0"/>
    <w:rsid w:val="00BE272E"/>
    <w:rsid w:val="00BE3A03"/>
    <w:rsid w:val="00BF077B"/>
    <w:rsid w:val="00BF2BCB"/>
    <w:rsid w:val="00BF5BD7"/>
    <w:rsid w:val="00C07B10"/>
    <w:rsid w:val="00C3606B"/>
    <w:rsid w:val="00C524BF"/>
    <w:rsid w:val="00C53050"/>
    <w:rsid w:val="00C559C1"/>
    <w:rsid w:val="00C55CCC"/>
    <w:rsid w:val="00C560C0"/>
    <w:rsid w:val="00C57D52"/>
    <w:rsid w:val="00C6005B"/>
    <w:rsid w:val="00C73B04"/>
    <w:rsid w:val="00C75E4D"/>
    <w:rsid w:val="00C76A87"/>
    <w:rsid w:val="00C77CBD"/>
    <w:rsid w:val="00C84E02"/>
    <w:rsid w:val="00C937AB"/>
    <w:rsid w:val="00CA540E"/>
    <w:rsid w:val="00CA5D91"/>
    <w:rsid w:val="00CA5F96"/>
    <w:rsid w:val="00CB0A89"/>
    <w:rsid w:val="00CB0F06"/>
    <w:rsid w:val="00CB2F7C"/>
    <w:rsid w:val="00CB7970"/>
    <w:rsid w:val="00CC18E4"/>
    <w:rsid w:val="00CC74DD"/>
    <w:rsid w:val="00CE52D2"/>
    <w:rsid w:val="00CE6D78"/>
    <w:rsid w:val="00CF26C8"/>
    <w:rsid w:val="00D006F9"/>
    <w:rsid w:val="00D00DDB"/>
    <w:rsid w:val="00D10D26"/>
    <w:rsid w:val="00D10F76"/>
    <w:rsid w:val="00D138FA"/>
    <w:rsid w:val="00D15902"/>
    <w:rsid w:val="00D27BF6"/>
    <w:rsid w:val="00D27E94"/>
    <w:rsid w:val="00D32F72"/>
    <w:rsid w:val="00D4270F"/>
    <w:rsid w:val="00D45126"/>
    <w:rsid w:val="00D46CAB"/>
    <w:rsid w:val="00D46D84"/>
    <w:rsid w:val="00D52050"/>
    <w:rsid w:val="00D54A99"/>
    <w:rsid w:val="00D66EDC"/>
    <w:rsid w:val="00D722DD"/>
    <w:rsid w:val="00D93FC5"/>
    <w:rsid w:val="00DA3698"/>
    <w:rsid w:val="00DA6085"/>
    <w:rsid w:val="00DB5828"/>
    <w:rsid w:val="00DC3B07"/>
    <w:rsid w:val="00DC5F20"/>
    <w:rsid w:val="00DC60CA"/>
    <w:rsid w:val="00DD30CF"/>
    <w:rsid w:val="00DD7C67"/>
    <w:rsid w:val="00DE0A11"/>
    <w:rsid w:val="00DE353D"/>
    <w:rsid w:val="00DF0D5D"/>
    <w:rsid w:val="00DF1E25"/>
    <w:rsid w:val="00DF55B2"/>
    <w:rsid w:val="00DF7363"/>
    <w:rsid w:val="00E00A61"/>
    <w:rsid w:val="00E012A5"/>
    <w:rsid w:val="00E05268"/>
    <w:rsid w:val="00E17803"/>
    <w:rsid w:val="00E20671"/>
    <w:rsid w:val="00E2096D"/>
    <w:rsid w:val="00E22DDA"/>
    <w:rsid w:val="00E275F1"/>
    <w:rsid w:val="00E302A9"/>
    <w:rsid w:val="00E32610"/>
    <w:rsid w:val="00E3520C"/>
    <w:rsid w:val="00E37C72"/>
    <w:rsid w:val="00E4524C"/>
    <w:rsid w:val="00E734F7"/>
    <w:rsid w:val="00E76BA4"/>
    <w:rsid w:val="00E77DAF"/>
    <w:rsid w:val="00E822BE"/>
    <w:rsid w:val="00E82F87"/>
    <w:rsid w:val="00E85485"/>
    <w:rsid w:val="00E90922"/>
    <w:rsid w:val="00E94178"/>
    <w:rsid w:val="00EA1678"/>
    <w:rsid w:val="00EB1755"/>
    <w:rsid w:val="00EB23DC"/>
    <w:rsid w:val="00EB27EB"/>
    <w:rsid w:val="00EB28B2"/>
    <w:rsid w:val="00EB414D"/>
    <w:rsid w:val="00EC4D72"/>
    <w:rsid w:val="00EC6B14"/>
    <w:rsid w:val="00ED24D1"/>
    <w:rsid w:val="00EF1252"/>
    <w:rsid w:val="00EF72D5"/>
    <w:rsid w:val="00F0044C"/>
    <w:rsid w:val="00F01AE2"/>
    <w:rsid w:val="00F04CAD"/>
    <w:rsid w:val="00F10357"/>
    <w:rsid w:val="00F12AB0"/>
    <w:rsid w:val="00F155BA"/>
    <w:rsid w:val="00F228B7"/>
    <w:rsid w:val="00F24694"/>
    <w:rsid w:val="00F256BF"/>
    <w:rsid w:val="00F36231"/>
    <w:rsid w:val="00F40E4C"/>
    <w:rsid w:val="00F440AE"/>
    <w:rsid w:val="00F45878"/>
    <w:rsid w:val="00F50C67"/>
    <w:rsid w:val="00F5624F"/>
    <w:rsid w:val="00F622E0"/>
    <w:rsid w:val="00F6378D"/>
    <w:rsid w:val="00F713ED"/>
    <w:rsid w:val="00F74E20"/>
    <w:rsid w:val="00F913E4"/>
    <w:rsid w:val="00FA468C"/>
    <w:rsid w:val="00FA57E4"/>
    <w:rsid w:val="00FB468B"/>
    <w:rsid w:val="00FB6494"/>
    <w:rsid w:val="00FB78DF"/>
    <w:rsid w:val="00FC2C07"/>
    <w:rsid w:val="00FC3E06"/>
    <w:rsid w:val="00FD7790"/>
    <w:rsid w:val="00FE0E49"/>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3CE859"/>
  <w15:docId w15:val="{A77E38AD-0F2F-4B3C-8BE6-6EEFA91F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character" w:styleId="UnresolvedMention">
    <w:name w:val="Unresolved Mention"/>
    <w:basedOn w:val="DefaultParagraphFont"/>
    <w:uiPriority w:val="99"/>
    <w:semiHidden/>
    <w:unhideWhenUsed/>
    <w:rsid w:val="00204093"/>
    <w:rPr>
      <w:color w:val="605E5C"/>
      <w:shd w:val="clear" w:color="auto" w:fill="E1DFDD"/>
    </w:rPr>
  </w:style>
  <w:style w:type="character" w:customStyle="1" w:styleId="ssparalabel">
    <w:name w:val="ss_paralabel"/>
    <w:basedOn w:val="DefaultParagraphFont"/>
    <w:rsid w:val="00863631"/>
  </w:style>
  <w:style w:type="character" w:customStyle="1" w:styleId="ssbf">
    <w:name w:val="ss_bf"/>
    <w:basedOn w:val="DefaultParagraphFont"/>
    <w:rsid w:val="00863631"/>
  </w:style>
  <w:style w:type="character" w:customStyle="1" w:styleId="ssparacontent">
    <w:name w:val="ss_paracontent"/>
    <w:basedOn w:val="DefaultParagraphFont"/>
    <w:rsid w:val="0086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6423">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students/preparing-for-college/admissions-eligibili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FC48-56E7-47CF-9E27-65114A6E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7</TotalTime>
  <Pages>3</Pages>
  <Words>879</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Carl Einhaus</cp:lastModifiedBy>
  <cp:revision>3</cp:revision>
  <cp:lastPrinted>2017-09-08T17:05:00Z</cp:lastPrinted>
  <dcterms:created xsi:type="dcterms:W3CDTF">2023-03-21T20:57:00Z</dcterms:created>
  <dcterms:modified xsi:type="dcterms:W3CDTF">2023-03-21T21:01:00Z</dcterms:modified>
</cp:coreProperties>
</file>