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vAlign w:val="center"/>
          </w:tcPr>
          <w:p w14:paraId="2CC2726C" w14:textId="4E0BA532" w:rsidR="007268CA" w:rsidRPr="002B1B26" w:rsidRDefault="007268CA" w:rsidP="007268CA">
            <w:pPr>
              <w:pStyle w:val="Informal1"/>
              <w:rPr>
                <w:rFonts w:ascii="Arial" w:hAnsi="Arial" w:cs="Arial"/>
                <w:b/>
                <w:bCs/>
              </w:rPr>
            </w:pPr>
            <w:r w:rsidRPr="002B1B26">
              <w:rPr>
                <w:rFonts w:ascii="Arial" w:hAnsi="Arial" w:cs="Arial"/>
                <w:b/>
                <w:bCs/>
              </w:rPr>
              <w:t xml:space="preserve">CCHE </w:t>
            </w:r>
            <w:r w:rsidR="00FB6F51">
              <w:rPr>
                <w:rFonts w:ascii="Arial" w:hAnsi="Arial" w:cs="Arial"/>
                <w:b/>
                <w:bCs/>
              </w:rPr>
              <w:t>Transfer Subcommittee</w:t>
            </w:r>
          </w:p>
          <w:p w14:paraId="3AAC6D3B" w14:textId="20124320" w:rsidR="007268CA" w:rsidRPr="002B1B26" w:rsidRDefault="004539D7" w:rsidP="00F97AAC">
            <w:pPr>
              <w:pStyle w:val="Informal1"/>
              <w:spacing w:before="0" w:after="0"/>
              <w:rPr>
                <w:rFonts w:ascii="Arial" w:hAnsi="Arial" w:cs="Arial"/>
                <w:b/>
                <w:bCs/>
              </w:rPr>
            </w:pPr>
            <w:r>
              <w:rPr>
                <w:rFonts w:ascii="Arial" w:hAnsi="Arial" w:cs="Arial"/>
                <w:b/>
                <w:bCs/>
              </w:rPr>
              <w:t>Monday</w:t>
            </w:r>
            <w:r w:rsidR="00A03C46">
              <w:rPr>
                <w:rFonts w:ascii="Arial" w:hAnsi="Arial" w:cs="Arial"/>
                <w:b/>
                <w:bCs/>
              </w:rPr>
              <w:t xml:space="preserve">, </w:t>
            </w:r>
            <w:r w:rsidR="003523E6">
              <w:rPr>
                <w:rFonts w:ascii="Arial" w:hAnsi="Arial" w:cs="Arial"/>
                <w:b/>
                <w:bCs/>
              </w:rPr>
              <w:t>February 12</w:t>
            </w:r>
            <w:r w:rsidR="00A03C46">
              <w:rPr>
                <w:rFonts w:ascii="Arial" w:hAnsi="Arial" w:cs="Arial"/>
                <w:b/>
                <w:bCs/>
              </w:rPr>
              <w:t>, 2026</w:t>
            </w:r>
          </w:p>
          <w:p w14:paraId="03E73BAA" w14:textId="2E85E078" w:rsidR="00F97AAC" w:rsidRPr="002B1B26" w:rsidRDefault="004539D7" w:rsidP="00F97AAC">
            <w:pPr>
              <w:pStyle w:val="Informal1"/>
              <w:spacing w:before="0" w:after="0"/>
              <w:rPr>
                <w:rFonts w:ascii="Arial" w:hAnsi="Arial" w:cs="Arial"/>
                <w:b/>
                <w:bCs/>
              </w:rPr>
            </w:pPr>
            <w:r>
              <w:rPr>
                <w:rFonts w:ascii="Arial" w:hAnsi="Arial" w:cs="Arial"/>
                <w:b/>
                <w:bCs/>
              </w:rPr>
              <w:t>1:00 – 2:30 pm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6813BA2D" w14:textId="77777777" w:rsidR="003523E6" w:rsidRDefault="003523E6" w:rsidP="003523E6">
            <w:pPr>
              <w:pStyle w:val="xmsonormal"/>
              <w:shd w:val="clear" w:color="auto" w:fill="FFFFFF"/>
              <w:spacing w:before="0" w:beforeAutospacing="0" w:after="0" w:afterAutospacing="0"/>
              <w:rPr>
                <w:rFonts w:ascii="Aptos" w:hAnsi="Aptos"/>
                <w:color w:val="424242"/>
              </w:rPr>
            </w:pPr>
            <w:hyperlink r:id="rId7" w:tgtFrame="_blank" w:tooltip="Original URL: https://highered-colorado-gov.zoom.us/j/84693711713?pwd=PKNJADaTRNvY8vbJOiQD6pilknzNe1.1. Click or tap if you trust this link." w:history="1">
              <w:r>
                <w:rPr>
                  <w:rStyle w:val="Hyperlink"/>
                  <w:rFonts w:ascii="Calibri" w:hAnsi="Calibri" w:cs="Calibri"/>
                  <w:color w:val="467886"/>
                  <w:bdr w:val="none" w:sz="0" w:space="0" w:color="auto" w:frame="1"/>
                </w:rPr>
                <w:t>Join Zoom Meeting</w:t>
              </w:r>
            </w:hyperlink>
          </w:p>
          <w:p w14:paraId="57DA375F" w14:textId="77777777" w:rsidR="003523E6" w:rsidRDefault="003523E6" w:rsidP="003523E6">
            <w:pPr>
              <w:pStyle w:val="xmsonormal"/>
              <w:shd w:val="clear" w:color="auto" w:fill="FFFFFF"/>
              <w:spacing w:before="0" w:beforeAutospacing="0" w:after="0" w:afterAutospacing="0"/>
              <w:rPr>
                <w:rFonts w:ascii="Aptos" w:hAnsi="Aptos"/>
                <w:color w:val="424242"/>
              </w:rPr>
            </w:pPr>
            <w:r>
              <w:rPr>
                <w:rFonts w:ascii="Calibri" w:hAnsi="Calibri" w:cs="Calibri"/>
                <w:color w:val="424242"/>
                <w:bdr w:val="none" w:sz="0" w:space="0" w:color="auto" w:frame="1"/>
              </w:rPr>
              <w:t>Meeting ID: 846 9371 1713</w:t>
            </w:r>
          </w:p>
          <w:p w14:paraId="4BE914F2" w14:textId="710399D8" w:rsidR="00B34E8A" w:rsidRPr="008357B0" w:rsidRDefault="003523E6" w:rsidP="003523E6">
            <w:pPr>
              <w:pStyle w:val="xmsonormal"/>
              <w:shd w:val="clear" w:color="auto" w:fill="FFFFFF"/>
              <w:spacing w:before="0" w:beforeAutospacing="0" w:after="0" w:afterAutospacing="0"/>
            </w:pPr>
            <w:r>
              <w:rPr>
                <w:rFonts w:ascii="Calibri" w:hAnsi="Calibri" w:cs="Calibri"/>
                <w:color w:val="424242"/>
                <w:bdr w:val="none" w:sz="0" w:space="0" w:color="auto" w:frame="1"/>
              </w:rPr>
              <w:t>Passcode: 670480</w:t>
            </w:r>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5A98E356" w:rsidR="00B34E8A" w:rsidRPr="002B1B26" w:rsidRDefault="00B34E8A" w:rsidP="00F97AAC">
            <w:pPr>
              <w:rPr>
                <w:rFonts w:ascii="Arial" w:hAnsi="Arial" w:cs="Arial"/>
              </w:rPr>
            </w:pPr>
            <w:r w:rsidRPr="002B1B26">
              <w:rPr>
                <w:rFonts w:ascii="Arial" w:hAnsi="Arial" w:cs="Arial"/>
              </w:rPr>
              <w:t xml:space="preserve">CCHE </w:t>
            </w:r>
            <w:r w:rsidR="00FB6F51">
              <w:rPr>
                <w:rFonts w:ascii="Arial" w:hAnsi="Arial" w:cs="Arial"/>
              </w:rPr>
              <w:t>Transfer Subcommittee Members, CDHE Staff</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327B77D2" w:rsidR="00B34E8A" w:rsidRPr="002B1B26" w:rsidRDefault="00B34E8A" w:rsidP="003B0E2B">
            <w:pPr>
              <w:autoSpaceDE w:val="0"/>
              <w:autoSpaceDN w:val="0"/>
              <w:rPr>
                <w:rFonts w:ascii="Arial" w:hAnsi="Arial" w:cs="Arial"/>
              </w:rPr>
            </w:pPr>
            <w:r w:rsidRPr="002B1B26">
              <w:rPr>
                <w:rFonts w:ascii="Arial" w:hAnsi="Arial" w:cs="Arial"/>
              </w:rPr>
              <w:t xml:space="preserve">Discuss student success and academic affairs topics in Colorado to advance </w:t>
            </w:r>
            <w:r w:rsidR="00FB6F51">
              <w:rPr>
                <w:rFonts w:ascii="Arial" w:hAnsi="Arial" w:cs="Arial"/>
              </w:rPr>
              <w:t xml:space="preserve">transfer student </w:t>
            </w:r>
            <w:r w:rsidRPr="002B1B26">
              <w:rPr>
                <w:rFonts w:ascii="Arial" w:hAnsi="Arial" w:cs="Arial"/>
              </w:rPr>
              <w:t>practices and policies</w:t>
            </w:r>
          </w:p>
        </w:tc>
      </w:tr>
    </w:tbl>
    <w:p w14:paraId="05806FAF" w14:textId="78B22F78" w:rsidR="00F97AAC" w:rsidRPr="002B1B26" w:rsidRDefault="00F97AAC">
      <w:pPr>
        <w:rPr>
          <w:rFonts w:ascii="Arial" w:hAnsi="Arial" w:cs="Arial"/>
          <w:b/>
          <w:bCs/>
        </w:rPr>
      </w:pPr>
    </w:p>
    <w:p w14:paraId="33CC3709" w14:textId="680FF7A2" w:rsidR="00BB1E96"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0533C059" w:rsidR="00B6223D" w:rsidRPr="002B1B26" w:rsidRDefault="00BD2B00" w:rsidP="00B6223D">
      <w:pPr>
        <w:pStyle w:val="Informal2"/>
        <w:tabs>
          <w:tab w:val="right" w:pos="2160"/>
        </w:tabs>
      </w:pPr>
      <w:r>
        <w:t>1:00 pm</w:t>
      </w:r>
      <w:r w:rsidR="00B6223D" w:rsidRPr="002B1B26">
        <w:tab/>
      </w:r>
      <w:r w:rsidR="003F5387" w:rsidRPr="002B1B26">
        <w:tab/>
      </w:r>
      <w:r w:rsidR="00B6223D" w:rsidRPr="002B1B26">
        <w:t>Greetings</w:t>
      </w:r>
      <w:r w:rsidR="00460695">
        <w:t>, Introductions, and Approval of Meeting Minutes</w:t>
      </w:r>
    </w:p>
    <w:p w14:paraId="4DFE46F0" w14:textId="77777777" w:rsidR="00261D6B"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FB6F51">
        <w:rPr>
          <w:b w:val="0"/>
          <w:bCs w:val="0"/>
          <w:i/>
          <w:iCs/>
          <w:color w:val="4F6228" w:themeColor="accent3" w:themeShade="80"/>
        </w:rPr>
        <w:t>Subc</w:t>
      </w:r>
      <w:r w:rsidR="00755D71" w:rsidRPr="002B1B26">
        <w:rPr>
          <w:b w:val="0"/>
          <w:bCs w:val="0"/>
          <w:i/>
          <w:iCs/>
          <w:color w:val="4F6228" w:themeColor="accent3" w:themeShade="80"/>
        </w:rPr>
        <w:t>ommittee Cha</w:t>
      </w:r>
      <w:r w:rsidR="00261D6B">
        <w:rPr>
          <w:b w:val="0"/>
          <w:bCs w:val="0"/>
          <w:i/>
          <w:iCs/>
          <w:color w:val="4F6228" w:themeColor="accent3" w:themeShade="80"/>
        </w:rPr>
        <w:t>ir</w:t>
      </w:r>
    </w:p>
    <w:p w14:paraId="51F6C0CE" w14:textId="51747461" w:rsidR="003563D3" w:rsidRPr="003563D3" w:rsidRDefault="003563D3" w:rsidP="003563D3">
      <w:pPr>
        <w:pStyle w:val="Informal2"/>
        <w:tabs>
          <w:tab w:val="right" w:pos="2160"/>
        </w:tabs>
        <w:ind w:left="2880"/>
        <w:rPr>
          <w:b w:val="0"/>
          <w:bCs w:val="0"/>
          <w:color w:val="FF0000"/>
        </w:rPr>
      </w:pPr>
      <w:r>
        <w:rPr>
          <w:b w:val="0"/>
          <w:bCs w:val="0"/>
          <w:color w:val="FF0000"/>
        </w:rPr>
        <w:t xml:space="preserve">Commissioner Walmer motioned to approve the January 26 meeting notes. Patrick Tally seconded the motion. No objections were made – notes approved. </w:t>
      </w:r>
    </w:p>
    <w:p w14:paraId="6E1C7EF1" w14:textId="77777777" w:rsidR="00261D6B" w:rsidRDefault="00261D6B" w:rsidP="00B6223D">
      <w:pPr>
        <w:pStyle w:val="Informal2"/>
        <w:tabs>
          <w:tab w:val="right" w:pos="2160"/>
        </w:tabs>
        <w:rPr>
          <w:b w:val="0"/>
          <w:bCs w:val="0"/>
          <w:i/>
          <w:iCs/>
          <w:color w:val="4F6228" w:themeColor="accent3" w:themeShade="80"/>
        </w:rPr>
      </w:pP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D01BC90" w14:textId="291CAAA6" w:rsidR="00CB487E" w:rsidRDefault="00BD2B00" w:rsidP="003523E6">
      <w:pPr>
        <w:pStyle w:val="Informal2"/>
        <w:tabs>
          <w:tab w:val="right" w:pos="2160"/>
        </w:tabs>
        <w:ind w:left="2880" w:hanging="2880"/>
      </w:pPr>
      <w:r>
        <w:t>1:05 pm</w:t>
      </w:r>
      <w:r w:rsidR="00B6223D" w:rsidRPr="002B1B26">
        <w:tab/>
      </w:r>
      <w:r w:rsidR="00B6223D" w:rsidRPr="002B1B26">
        <w:tab/>
      </w:r>
      <w:r w:rsidR="003523E6">
        <w:t>Transfer Quiz Game</w:t>
      </w:r>
      <w:r w:rsidR="00620777">
        <w:t xml:space="preserve"> – GT Pathways</w:t>
      </w:r>
    </w:p>
    <w:p w14:paraId="3D664B34" w14:textId="00CCA39A" w:rsidR="003523E6" w:rsidRDefault="003523E6" w:rsidP="003523E6">
      <w:pPr>
        <w:pStyle w:val="Informal2"/>
        <w:tabs>
          <w:tab w:val="right" w:pos="2160"/>
        </w:tabs>
        <w:ind w:left="2880" w:hanging="2880"/>
        <w:rPr>
          <w:b w:val="0"/>
          <w:bCs w:val="0"/>
          <w:i/>
          <w:iCs/>
          <w:color w:val="4F6228" w:themeColor="accent3" w:themeShade="80"/>
        </w:rPr>
      </w:pPr>
      <w:r>
        <w:tab/>
      </w:r>
      <w:r>
        <w:tab/>
      </w:r>
      <w:r w:rsidR="00620777">
        <w:rPr>
          <w:b w:val="0"/>
          <w:bCs w:val="0"/>
          <w:i/>
          <w:iCs/>
          <w:color w:val="4F6228" w:themeColor="accent3" w:themeShade="80"/>
        </w:rPr>
        <w:t xml:space="preserve">Christina Carrillo, </w:t>
      </w:r>
      <w:r w:rsidRPr="003523E6">
        <w:rPr>
          <w:b w:val="0"/>
          <w:bCs w:val="0"/>
          <w:i/>
          <w:iCs/>
          <w:color w:val="4F6228" w:themeColor="accent3" w:themeShade="80"/>
        </w:rPr>
        <w:t>CDHE</w:t>
      </w:r>
    </w:p>
    <w:p w14:paraId="2201260B" w14:textId="7AD31245" w:rsidR="00FB753A" w:rsidRPr="00FB753A" w:rsidRDefault="00FB753A" w:rsidP="00FB753A">
      <w:pPr>
        <w:pStyle w:val="Informal2"/>
        <w:tabs>
          <w:tab w:val="right" w:pos="2160"/>
        </w:tabs>
        <w:ind w:left="2880" w:hanging="2880"/>
        <w:rPr>
          <w:b w:val="0"/>
          <w:bCs w:val="0"/>
          <w:color w:val="FF0000"/>
        </w:rPr>
      </w:pPr>
      <w:r>
        <w:rPr>
          <w:b w:val="0"/>
          <w:bCs w:val="0"/>
          <w:i/>
          <w:iCs/>
          <w:color w:val="4F6228" w:themeColor="accent3" w:themeShade="80"/>
        </w:rPr>
        <w:tab/>
      </w:r>
      <w:r>
        <w:rPr>
          <w:b w:val="0"/>
          <w:bCs w:val="0"/>
          <w:i/>
          <w:iCs/>
          <w:color w:val="4F6228" w:themeColor="accent3" w:themeShade="80"/>
        </w:rPr>
        <w:tab/>
      </w:r>
      <w:r w:rsidRPr="00FB753A">
        <w:rPr>
          <w:b w:val="0"/>
          <w:bCs w:val="0"/>
          <w:color w:val="FF0000"/>
        </w:rPr>
        <w:t>CDHE staff led a light</w:t>
      </w:r>
      <w:r w:rsidRPr="00FB753A">
        <w:rPr>
          <w:b w:val="0"/>
          <w:bCs w:val="0"/>
          <w:color w:val="FF0000"/>
        </w:rPr>
        <w:noBreakHyphen/>
        <w:t xml:space="preserve">hearted interactive quiz to reinforce foundational knowledge about GT Pathways and statewide transfer frameworks. The group reviewed all ten questions, and Christina and Brad clarified several nuanced areas such as minimum passing grades, the meaning of waivers, applicability to engineering and AAS degrees, and limitations of transfer guarantees. Key clarifications included: GT Pathways courses must transfer regardless of institutional syllabi requests; community colleges do not use plus/minus </w:t>
      </w:r>
      <w:r w:rsidRPr="00FB753A">
        <w:rPr>
          <w:b w:val="0"/>
          <w:bCs w:val="0"/>
          <w:color w:val="FF0000"/>
        </w:rPr>
        <w:t>grading,</w:t>
      </w:r>
      <w:r w:rsidRPr="00FB753A">
        <w:rPr>
          <w:b w:val="0"/>
          <w:bCs w:val="0"/>
          <w:color w:val="FF0000"/>
        </w:rPr>
        <w:t xml:space="preserve"> but many four</w:t>
      </w:r>
      <w:r w:rsidRPr="00FB753A">
        <w:rPr>
          <w:b w:val="0"/>
          <w:bCs w:val="0"/>
          <w:color w:val="FF0000"/>
        </w:rPr>
        <w:noBreakHyphen/>
        <w:t>year institutions do; and engineering programs typically accept some</w:t>
      </w:r>
      <w:r>
        <w:rPr>
          <w:b w:val="0"/>
          <w:bCs w:val="0"/>
          <w:color w:val="FF0000"/>
        </w:rPr>
        <w:t xml:space="preserve"> </w:t>
      </w:r>
      <w:r w:rsidRPr="00FB753A">
        <w:rPr>
          <w:b w:val="0"/>
          <w:bCs w:val="0"/>
          <w:color w:val="FF0000"/>
        </w:rPr>
        <w:t>—</w:t>
      </w:r>
      <w:r>
        <w:rPr>
          <w:b w:val="0"/>
          <w:bCs w:val="0"/>
          <w:color w:val="FF0000"/>
        </w:rPr>
        <w:t xml:space="preserve"> </w:t>
      </w:r>
      <w:r w:rsidRPr="00FB753A">
        <w:rPr>
          <w:b w:val="0"/>
          <w:bCs w:val="0"/>
          <w:color w:val="FF0000"/>
        </w:rPr>
        <w:t>but not the full set</w:t>
      </w:r>
      <w:r>
        <w:rPr>
          <w:b w:val="0"/>
          <w:bCs w:val="0"/>
          <w:color w:val="FF0000"/>
        </w:rPr>
        <w:t xml:space="preserve"> </w:t>
      </w:r>
      <w:r w:rsidRPr="00FB753A">
        <w:rPr>
          <w:b w:val="0"/>
          <w:bCs w:val="0"/>
          <w:color w:val="FF0000"/>
        </w:rPr>
        <w:t>—</w:t>
      </w:r>
      <w:r>
        <w:rPr>
          <w:b w:val="0"/>
          <w:bCs w:val="0"/>
          <w:color w:val="FF0000"/>
        </w:rPr>
        <w:t xml:space="preserve"> </w:t>
      </w:r>
      <w:r w:rsidRPr="00FB753A">
        <w:rPr>
          <w:b w:val="0"/>
          <w:bCs w:val="0"/>
          <w:color w:val="FF0000"/>
        </w:rPr>
        <w:t>of GT Pathways credits. Members noted that the website does</w:t>
      </w:r>
      <w:r>
        <w:rPr>
          <w:b w:val="0"/>
          <w:bCs w:val="0"/>
          <w:color w:val="FF0000"/>
        </w:rPr>
        <w:t xml:space="preserve"> </w:t>
      </w:r>
      <w:r w:rsidRPr="00FB753A">
        <w:rPr>
          <w:b w:val="0"/>
          <w:bCs w:val="0"/>
          <w:color w:val="FF0000"/>
        </w:rPr>
        <w:t>not clearly display waivers or explain nuances from a student-</w:t>
      </w:r>
      <w:r w:rsidRPr="00FB753A">
        <w:rPr>
          <w:b w:val="0"/>
          <w:bCs w:val="0"/>
          <w:color w:val="FF0000"/>
        </w:rPr>
        <w:lastRenderedPageBreak/>
        <w:t>centered perspective, prompting suggestions for clearer public-facing communication.</w:t>
      </w:r>
    </w:p>
    <w:p w14:paraId="6A746EF9" w14:textId="77777777" w:rsidR="005E3BB0" w:rsidRDefault="005E3BB0" w:rsidP="00B6223D">
      <w:pPr>
        <w:pStyle w:val="Informal2"/>
        <w:tabs>
          <w:tab w:val="right" w:pos="2160"/>
        </w:tabs>
        <w:rPr>
          <w:b w:val="0"/>
          <w:bCs w:val="0"/>
          <w:i/>
          <w:iCs/>
          <w:color w:val="4F81BD" w:themeColor="accent1"/>
        </w:rPr>
      </w:pPr>
    </w:p>
    <w:p w14:paraId="7978F895" w14:textId="7CC9F2CC"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C795037" w14:textId="677E00D2" w:rsidR="003523E6" w:rsidRPr="00144924" w:rsidRDefault="00BD2B00" w:rsidP="003523E6">
      <w:pPr>
        <w:pStyle w:val="Informal2"/>
        <w:tabs>
          <w:tab w:val="right" w:pos="2160"/>
        </w:tabs>
        <w:ind w:left="2880" w:hanging="2880"/>
        <w:rPr>
          <w:color w:val="FF0000"/>
        </w:rPr>
      </w:pPr>
      <w:r>
        <w:t>1:</w:t>
      </w:r>
      <w:r w:rsidR="003523E6">
        <w:t>15</w:t>
      </w:r>
      <w:r>
        <w:t xml:space="preserve"> pm</w:t>
      </w:r>
      <w:r w:rsidR="00B6223D" w:rsidRPr="002B1B26">
        <w:tab/>
      </w:r>
      <w:r w:rsidR="00460695">
        <w:tab/>
      </w:r>
      <w:bookmarkStart w:id="2" w:name="_Hlk93390637"/>
      <w:r w:rsidR="003523E6">
        <w:t>Continued Discussion of Colorado Transfer</w:t>
      </w:r>
    </w:p>
    <w:p w14:paraId="35073156" w14:textId="77777777" w:rsidR="003523E6" w:rsidRDefault="003523E6" w:rsidP="003523E6">
      <w:pPr>
        <w:pStyle w:val="Informal2"/>
        <w:tabs>
          <w:tab w:val="right" w:pos="2160"/>
        </w:tabs>
        <w:rPr>
          <w:b w:val="0"/>
          <w:bCs w:val="0"/>
          <w:i/>
          <w:iCs/>
          <w:color w:val="4F6228" w:themeColor="accent3" w:themeShade="80"/>
        </w:rPr>
      </w:pPr>
      <w:r w:rsidRPr="002B1B26">
        <w:rPr>
          <w:i/>
          <w:iCs/>
          <w:color w:val="4F81BD" w:themeColor="accent1"/>
        </w:rPr>
        <w:tab/>
      </w:r>
      <w:r w:rsidRPr="002B1B26">
        <w:rPr>
          <w:i/>
          <w:iCs/>
          <w:color w:val="4F81BD" w:themeColor="accent1"/>
        </w:rPr>
        <w:tab/>
      </w:r>
      <w:r>
        <w:rPr>
          <w:b w:val="0"/>
          <w:bCs w:val="0"/>
          <w:i/>
          <w:iCs/>
          <w:color w:val="4F6228" w:themeColor="accent3" w:themeShade="80"/>
        </w:rPr>
        <w:t>Brad Griffith, CDHE</w:t>
      </w:r>
    </w:p>
    <w:p w14:paraId="39A6D3AD" w14:textId="0F411EF6" w:rsidR="003D2779" w:rsidRDefault="003D2779" w:rsidP="003D2779">
      <w:pPr>
        <w:pStyle w:val="Informal2"/>
        <w:tabs>
          <w:tab w:val="right" w:pos="2160"/>
        </w:tabs>
        <w:ind w:left="2880"/>
        <w:rPr>
          <w:b w:val="0"/>
          <w:bCs w:val="0"/>
          <w:color w:val="FF0000"/>
        </w:rPr>
      </w:pPr>
      <w:r w:rsidRPr="003D2779">
        <w:rPr>
          <w:b w:val="0"/>
          <w:bCs w:val="0"/>
          <w:color w:val="FF0000"/>
        </w:rPr>
        <w:t>Members engaged in an extended discussion about how waivers and partial applicability of GT Pathways are communicated to students. Multiple participants emphasized the need for clearer website language distinguishing between degrees where some GT requirements apply versus none. Concerns were raised that current phrasing (“does not apply”) may mislead students into thinking no GT credits transfer. Participants recommended reviewing and revising website content to increase student clarity, including aligning institutional language and exploring a future meeting focused on redesigning student-facing messaging. Consensus emerged that clearer communication is essential and that policy language may also need updating to support transparency.</w:t>
      </w:r>
    </w:p>
    <w:p w14:paraId="461FF64A" w14:textId="77777777" w:rsidR="003D2779" w:rsidRDefault="003D2779" w:rsidP="003D2779">
      <w:pPr>
        <w:pStyle w:val="Informal2"/>
        <w:tabs>
          <w:tab w:val="right" w:pos="2160"/>
        </w:tabs>
        <w:ind w:left="2880"/>
        <w:rPr>
          <w:b w:val="0"/>
          <w:bCs w:val="0"/>
          <w:color w:val="FF0000"/>
        </w:rPr>
      </w:pPr>
    </w:p>
    <w:p w14:paraId="07999C67" w14:textId="77777777" w:rsidR="003D2779" w:rsidRDefault="003D2779" w:rsidP="003D2779">
      <w:pPr>
        <w:pStyle w:val="Informal2"/>
        <w:tabs>
          <w:tab w:val="right" w:pos="2160"/>
        </w:tabs>
        <w:ind w:left="2880"/>
        <w:rPr>
          <w:b w:val="0"/>
          <w:bCs w:val="0"/>
          <w:color w:val="FF0000"/>
        </w:rPr>
      </w:pPr>
      <w:r w:rsidRPr="003D2779">
        <w:rPr>
          <w:b w:val="0"/>
          <w:bCs w:val="0"/>
          <w:color w:val="FF0000"/>
        </w:rPr>
        <w:t>Brad presented early survey results from the Colorado Transfer Explore activity. Respondents identified the desired future state of the platform as a trusted, authoritative, student-friendly hub. Results showed strong interest in statewide course-by-course equivalency databases, expanded exam credit information, and updated military credit evaluation resources. Brad noted that Colorado lacks a statewide course numbering system and that expectations for comprehensive equivalency data may exceed institutional capacity. Cost was identified as a major barrier, with Phase 2 projected at approximately $2.5–3 million, and long-term maintenance also flagged as a significant concern. Members discussed feasibility, automation, integration with institutional systems, and potential roles for AI. Suggestions included requiring institutions to link clearly to CDHE resources and considering CCHE policy to standardize institutional transfer information.</w:t>
      </w:r>
    </w:p>
    <w:p w14:paraId="6A09684D" w14:textId="77777777" w:rsidR="003D2779" w:rsidRDefault="003D2779" w:rsidP="003D2779">
      <w:pPr>
        <w:pStyle w:val="Informal2"/>
        <w:tabs>
          <w:tab w:val="right" w:pos="2160"/>
        </w:tabs>
        <w:ind w:left="2880"/>
        <w:rPr>
          <w:b w:val="0"/>
          <w:bCs w:val="0"/>
          <w:color w:val="FF0000"/>
        </w:rPr>
      </w:pPr>
    </w:p>
    <w:p w14:paraId="30C9910C" w14:textId="2C992DC6" w:rsidR="003D2779" w:rsidRPr="003D2779" w:rsidRDefault="002D3BAB" w:rsidP="002D3BAB">
      <w:pPr>
        <w:pStyle w:val="Informal2"/>
        <w:tabs>
          <w:tab w:val="right" w:pos="2160"/>
        </w:tabs>
        <w:ind w:left="2880"/>
        <w:rPr>
          <w:b w:val="0"/>
          <w:bCs w:val="0"/>
          <w:color w:val="FF0000"/>
        </w:rPr>
      </w:pPr>
      <w:r w:rsidRPr="002D3BAB">
        <w:rPr>
          <w:b w:val="0"/>
          <w:bCs w:val="0"/>
          <w:color w:val="FF0000"/>
        </w:rPr>
        <w:t xml:space="preserve">The group reflected on obstacles to implementing Colorado Transfer enhancements. Members highlighted institutional </w:t>
      </w:r>
      <w:r w:rsidRPr="002D3BAB">
        <w:rPr>
          <w:b w:val="0"/>
          <w:bCs w:val="0"/>
          <w:color w:val="FF0000"/>
        </w:rPr>
        <w:lastRenderedPageBreak/>
        <w:t>workload, the scale of evaluating equivalencies across all institutions, and the need for stronger alignment with learner behavior and expectations. Suggestions included requiring institutions to standardize and post certain transfer information, increasing visibility on high school and CDE platforms, and factoring in the needs of undecided or mobile students. Discussion emphasized aligning tools, policy, and technology with a unified statewide vision that emphasizes ease of navigation and student trust.</w:t>
      </w:r>
    </w:p>
    <w:p w14:paraId="4A352E37" w14:textId="6FFC8489" w:rsidR="008B4D84" w:rsidRPr="001B7387" w:rsidRDefault="008B4D84" w:rsidP="003523E6">
      <w:pPr>
        <w:pStyle w:val="Informal2"/>
        <w:tabs>
          <w:tab w:val="right" w:pos="2160"/>
        </w:tabs>
        <w:ind w:left="2880" w:hanging="2880"/>
        <w:rPr>
          <w:i/>
          <w:iCs/>
          <w:color w:val="4F6228" w:themeColor="accent3" w:themeShade="80"/>
        </w:rPr>
      </w:pPr>
    </w:p>
    <w:bookmarkEnd w:id="2"/>
    <w:p w14:paraId="794A95E2" w14:textId="21F1FD73" w:rsidR="00A63A16" w:rsidRPr="002B1B26" w:rsidRDefault="00B6223D" w:rsidP="00B6223D">
      <w:pPr>
        <w:pStyle w:val="Informal2"/>
        <w:tabs>
          <w:tab w:val="right" w:pos="2160"/>
        </w:tabs>
      </w:pPr>
      <w:r w:rsidRPr="002B1B26">
        <w:tab/>
      </w:r>
      <w:r w:rsidRPr="002B1B26">
        <w:tab/>
      </w:r>
      <w:r w:rsidR="00BB6417" w:rsidRPr="002B1B26">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2D08"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5E994A6" w14:textId="16CA866A" w:rsidR="0081014D" w:rsidRPr="00C241AA" w:rsidRDefault="00BD2B00" w:rsidP="00011447">
      <w:pPr>
        <w:pStyle w:val="Informal2"/>
        <w:tabs>
          <w:tab w:val="right" w:pos="2160"/>
        </w:tabs>
        <w:ind w:left="2880" w:hanging="2880"/>
      </w:pPr>
      <w:r>
        <w:t>1:50 pm</w:t>
      </w:r>
      <w:r w:rsidR="00B6223D" w:rsidRPr="002B1B26">
        <w:tab/>
      </w:r>
      <w:r w:rsidR="00011447">
        <w:tab/>
      </w:r>
      <w:r w:rsidR="003523E6">
        <w:t>OSA Transfer Audit Deep Dive – Finding 2 Guaranteed Transfer Pathways</w:t>
      </w:r>
      <w:r w:rsidR="00460695">
        <w:t xml:space="preserve"> </w:t>
      </w:r>
      <w:r w:rsidR="00261D6B">
        <w:t xml:space="preserve"> </w:t>
      </w:r>
    </w:p>
    <w:p w14:paraId="4C977448" w14:textId="1F918E92" w:rsidR="0072761C" w:rsidRDefault="003523E6" w:rsidP="00FB6F5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Carl Einhaus and Brad Griffith, CDHE</w:t>
      </w:r>
    </w:p>
    <w:p w14:paraId="337BA5A8" w14:textId="77777777" w:rsidR="00AF2FE4" w:rsidRDefault="002D3BAB" w:rsidP="00AF2FE4">
      <w:pPr>
        <w:ind w:left="2880"/>
        <w:rPr>
          <w:rFonts w:ascii="Arial" w:hAnsi="Arial" w:cs="Arial"/>
          <w:color w:val="FF0000"/>
          <w:sz w:val="24"/>
          <w:szCs w:val="24"/>
        </w:rPr>
      </w:pPr>
      <w:r w:rsidRPr="002D3BAB">
        <w:rPr>
          <w:rFonts w:ascii="Arial" w:hAnsi="Arial" w:cs="Arial"/>
          <w:color w:val="FF0000"/>
          <w:sz w:val="24"/>
          <w:szCs w:val="24"/>
        </w:rPr>
        <w:t>Carl reviewed the Office of the State Auditor’s</w:t>
      </w:r>
      <w:r>
        <w:rPr>
          <w:rFonts w:ascii="Arial" w:hAnsi="Arial" w:cs="Arial"/>
          <w:color w:val="FF0000"/>
          <w:sz w:val="24"/>
          <w:szCs w:val="24"/>
        </w:rPr>
        <w:t xml:space="preserve"> (OSA)</w:t>
      </w:r>
      <w:r w:rsidRPr="002D3BAB">
        <w:rPr>
          <w:rFonts w:ascii="Arial" w:hAnsi="Arial" w:cs="Arial"/>
          <w:color w:val="FF0000"/>
          <w:sz w:val="24"/>
          <w:szCs w:val="24"/>
        </w:rPr>
        <w:t xml:space="preserve"> 19 recommendations, noting that three student-specific recommendations have already been resolved and that 16 remain, due by October 1, 2026. He described several thematic clusters: (1) clarifying whether institutions may accept credits without official documentation; (2) revising multiple CCHE policies for clarity; (3) military credit recommendations; (4) establishing an annual statewide transfer analysis; and (5) improving institutional reporting of military student experiences. He proposed engaging registrars, admissions staff, and military-credit experts through breakout groups, bringing their operational recommendations back to the Subcommittee for policy-level review. Members emphasized ensuring alignment with HLC standards and involving specialists who support veterans directly.</w:t>
      </w:r>
    </w:p>
    <w:p w14:paraId="68D9E4F2" w14:textId="77777777" w:rsidR="00AF2FE4" w:rsidRDefault="00AF2FE4" w:rsidP="00AF2FE4">
      <w:pPr>
        <w:ind w:left="2880"/>
        <w:rPr>
          <w:rFonts w:ascii="Arial" w:hAnsi="Arial" w:cs="Arial"/>
          <w:color w:val="FF0000"/>
          <w:sz w:val="24"/>
          <w:szCs w:val="24"/>
        </w:rPr>
      </w:pPr>
    </w:p>
    <w:p w14:paraId="1C6794B1" w14:textId="00CFFAEB" w:rsidR="00AF2FE4" w:rsidRDefault="00AF2FE4" w:rsidP="00AF2FE4">
      <w:pPr>
        <w:ind w:left="2880"/>
        <w:rPr>
          <w:rFonts w:ascii="Arial" w:hAnsi="Arial" w:cs="Arial"/>
          <w:color w:val="FF0000"/>
          <w:sz w:val="24"/>
          <w:szCs w:val="24"/>
        </w:rPr>
      </w:pPr>
      <w:r w:rsidRPr="00AF2FE4">
        <w:rPr>
          <w:rFonts w:ascii="Arial" w:hAnsi="Arial" w:cs="Arial"/>
          <w:color w:val="FF0000"/>
          <w:sz w:val="24"/>
          <w:szCs w:val="24"/>
        </w:rPr>
        <w:t xml:space="preserve">Carl presented five </w:t>
      </w:r>
      <w:r w:rsidRPr="00AF2FE4">
        <w:rPr>
          <w:rFonts w:ascii="Arial" w:hAnsi="Arial" w:cs="Arial"/>
          <w:color w:val="FF0000"/>
          <w:sz w:val="24"/>
          <w:szCs w:val="24"/>
        </w:rPr>
        <w:t>recommended policy areas</w:t>
      </w:r>
      <w:r w:rsidRPr="00AF2FE4">
        <w:rPr>
          <w:rFonts w:ascii="Arial" w:hAnsi="Arial" w:cs="Arial"/>
          <w:color w:val="FF0000"/>
          <w:sz w:val="24"/>
          <w:szCs w:val="24"/>
        </w:rPr>
        <w:t xml:space="preserve"> as the starting point for Subcommittee work:</w:t>
      </w:r>
    </w:p>
    <w:p w14:paraId="27616931" w14:textId="77777777" w:rsidR="002F480C" w:rsidRDefault="00AF2FE4" w:rsidP="002F480C">
      <w:pPr>
        <w:pStyle w:val="ListParagraph"/>
        <w:numPr>
          <w:ilvl w:val="0"/>
          <w:numId w:val="9"/>
        </w:numPr>
        <w:rPr>
          <w:rFonts w:ascii="Arial" w:hAnsi="Arial" w:cs="Arial"/>
          <w:color w:val="FF0000"/>
          <w:sz w:val="24"/>
          <w:szCs w:val="24"/>
        </w:rPr>
      </w:pPr>
      <w:r w:rsidRPr="002F480C">
        <w:rPr>
          <w:rFonts w:ascii="Arial" w:hAnsi="Arial" w:cs="Arial"/>
          <w:b/>
          <w:bCs/>
          <w:color w:val="FF0000"/>
          <w:sz w:val="24"/>
          <w:szCs w:val="24"/>
        </w:rPr>
        <w:t>Clarifying transferability of electives and foreign</w:t>
      </w:r>
      <w:r w:rsidRPr="002F480C">
        <w:rPr>
          <w:rFonts w:ascii="Arial" w:hAnsi="Arial" w:cs="Arial"/>
          <w:color w:val="FF0000"/>
          <w:sz w:val="24"/>
          <w:szCs w:val="24"/>
        </w:rPr>
        <w:t xml:space="preserve"> credits toward GT Pathways.</w:t>
      </w:r>
    </w:p>
    <w:p w14:paraId="05C90CF6" w14:textId="77777777" w:rsidR="002F480C" w:rsidRDefault="00AF2FE4" w:rsidP="002F480C">
      <w:pPr>
        <w:pStyle w:val="ListParagraph"/>
        <w:numPr>
          <w:ilvl w:val="0"/>
          <w:numId w:val="9"/>
        </w:numPr>
        <w:rPr>
          <w:rFonts w:ascii="Arial" w:hAnsi="Arial" w:cs="Arial"/>
          <w:color w:val="FF0000"/>
          <w:sz w:val="24"/>
          <w:szCs w:val="24"/>
        </w:rPr>
      </w:pPr>
      <w:r w:rsidRPr="002F480C">
        <w:rPr>
          <w:rFonts w:ascii="Arial" w:hAnsi="Arial" w:cs="Arial"/>
          <w:b/>
          <w:bCs/>
          <w:color w:val="FF0000"/>
          <w:sz w:val="24"/>
          <w:szCs w:val="24"/>
        </w:rPr>
        <w:t>Clarifying how GT Pathways applies across all associate degree types</w:t>
      </w:r>
      <w:r w:rsidRPr="002F480C">
        <w:rPr>
          <w:rFonts w:ascii="Arial" w:hAnsi="Arial" w:cs="Arial"/>
          <w:color w:val="FF0000"/>
          <w:sz w:val="24"/>
          <w:szCs w:val="24"/>
        </w:rPr>
        <w:t>, especially AAS, AES, and applied bachelor’s degrees.</w:t>
      </w:r>
    </w:p>
    <w:p w14:paraId="56C7300D" w14:textId="77777777" w:rsidR="002F480C" w:rsidRDefault="00AF2FE4" w:rsidP="002F480C">
      <w:pPr>
        <w:pStyle w:val="ListParagraph"/>
        <w:numPr>
          <w:ilvl w:val="0"/>
          <w:numId w:val="9"/>
        </w:numPr>
        <w:rPr>
          <w:rFonts w:ascii="Arial" w:hAnsi="Arial" w:cs="Arial"/>
          <w:color w:val="FF0000"/>
          <w:sz w:val="24"/>
          <w:szCs w:val="24"/>
        </w:rPr>
      </w:pPr>
      <w:r w:rsidRPr="002F480C">
        <w:rPr>
          <w:rFonts w:ascii="Arial" w:hAnsi="Arial" w:cs="Arial"/>
          <w:b/>
          <w:bCs/>
          <w:color w:val="FF0000"/>
          <w:sz w:val="24"/>
          <w:szCs w:val="24"/>
        </w:rPr>
        <w:lastRenderedPageBreak/>
        <w:t>Guiding institutions on how to handle GT credits not required for a student’s chosen major</w:t>
      </w:r>
      <w:r w:rsidRPr="002F480C">
        <w:rPr>
          <w:rFonts w:ascii="Arial" w:hAnsi="Arial" w:cs="Arial"/>
          <w:color w:val="FF0000"/>
          <w:sz w:val="24"/>
          <w:szCs w:val="24"/>
        </w:rPr>
        <w:t>, including financial aid implications.</w:t>
      </w:r>
    </w:p>
    <w:p w14:paraId="3456B0DE" w14:textId="77777777" w:rsidR="002F480C" w:rsidRDefault="00AF2FE4" w:rsidP="002F480C">
      <w:pPr>
        <w:pStyle w:val="ListParagraph"/>
        <w:numPr>
          <w:ilvl w:val="0"/>
          <w:numId w:val="9"/>
        </w:numPr>
        <w:rPr>
          <w:rFonts w:ascii="Arial" w:hAnsi="Arial" w:cs="Arial"/>
          <w:color w:val="FF0000"/>
          <w:sz w:val="24"/>
          <w:szCs w:val="24"/>
        </w:rPr>
      </w:pPr>
      <w:r w:rsidRPr="002F480C">
        <w:rPr>
          <w:rFonts w:ascii="Arial" w:hAnsi="Arial" w:cs="Arial"/>
          <w:b/>
          <w:bCs/>
          <w:color w:val="FF0000"/>
          <w:sz w:val="24"/>
          <w:szCs w:val="24"/>
        </w:rPr>
        <w:t>Clarifying that GT acceptance should not be blocked due to course prefixes</w:t>
      </w:r>
      <w:r w:rsidRPr="002F480C">
        <w:rPr>
          <w:rFonts w:ascii="Arial" w:hAnsi="Arial" w:cs="Arial"/>
          <w:color w:val="FF0000"/>
          <w:sz w:val="24"/>
          <w:szCs w:val="24"/>
        </w:rPr>
        <w:t>, noting an audit finding where prefix mismatch had briefly prevented acceptance.</w:t>
      </w:r>
    </w:p>
    <w:p w14:paraId="6D8CDDBB" w14:textId="24FDB6B3" w:rsidR="00AF2FE4" w:rsidRPr="002F480C" w:rsidRDefault="00AF2FE4" w:rsidP="002F480C">
      <w:pPr>
        <w:pStyle w:val="ListParagraph"/>
        <w:numPr>
          <w:ilvl w:val="0"/>
          <w:numId w:val="9"/>
        </w:numPr>
        <w:rPr>
          <w:rFonts w:ascii="Arial" w:hAnsi="Arial" w:cs="Arial"/>
          <w:color w:val="FF0000"/>
          <w:sz w:val="24"/>
          <w:szCs w:val="24"/>
        </w:rPr>
      </w:pPr>
      <w:r w:rsidRPr="002F480C">
        <w:rPr>
          <w:rFonts w:ascii="Arial" w:hAnsi="Arial" w:cs="Arial"/>
          <w:b/>
          <w:bCs/>
          <w:color w:val="FF0000"/>
          <w:sz w:val="24"/>
          <w:szCs w:val="24"/>
        </w:rPr>
        <w:t>Improving institutional communication with students about submitting transcripts and documentation</w:t>
      </w:r>
      <w:r w:rsidRPr="002F480C">
        <w:rPr>
          <w:rFonts w:ascii="Arial" w:hAnsi="Arial" w:cs="Arial"/>
          <w:color w:val="FF0000"/>
          <w:sz w:val="24"/>
          <w:szCs w:val="24"/>
        </w:rPr>
        <w:t xml:space="preserve"> to receive earned credit.</w:t>
      </w:r>
    </w:p>
    <w:p w14:paraId="1615A3FE" w14:textId="77777777" w:rsidR="00AF2FE4" w:rsidRDefault="00AF2FE4" w:rsidP="00AF2FE4">
      <w:pPr>
        <w:ind w:left="2880"/>
        <w:rPr>
          <w:rFonts w:ascii="Arial" w:hAnsi="Arial" w:cs="Arial"/>
          <w:color w:val="FF0000"/>
          <w:sz w:val="24"/>
          <w:szCs w:val="24"/>
        </w:rPr>
      </w:pPr>
    </w:p>
    <w:p w14:paraId="7317E86E" w14:textId="0A31083C" w:rsidR="002D3BAB" w:rsidRPr="00AF2FE4" w:rsidRDefault="00AF2FE4" w:rsidP="00AF2FE4">
      <w:pPr>
        <w:ind w:left="2880"/>
        <w:rPr>
          <w:rFonts w:ascii="Arial" w:hAnsi="Arial" w:cs="Arial"/>
          <w:color w:val="FF0000"/>
          <w:sz w:val="24"/>
          <w:szCs w:val="24"/>
        </w:rPr>
      </w:pPr>
      <w:r w:rsidRPr="00AF2FE4">
        <w:rPr>
          <w:rFonts w:ascii="Arial" w:hAnsi="Arial" w:cs="Arial"/>
          <w:color w:val="FF0000"/>
          <w:sz w:val="24"/>
          <w:szCs w:val="24"/>
        </w:rPr>
        <w:t>Members discussed practical challenges, including unclear use of GT courses embedded within AAS programs, variation in institutional communication practices, and the interconnected nature of these issues. Several members urged exploring the broader transfer vision before finalizing policy revisions to avoid locking in incremental changes that might limit future modernization.</w:t>
      </w:r>
    </w:p>
    <w:p w14:paraId="2A4B64E3" w14:textId="77777777" w:rsidR="002F333D" w:rsidRDefault="002F333D" w:rsidP="002F333D">
      <w:pPr>
        <w:rPr>
          <w:rFonts w:ascii="Arial" w:hAnsi="Arial" w:cs="Arial"/>
          <w:i/>
          <w:iCs/>
          <w:color w:val="4F6228" w:themeColor="accent3" w:themeShade="80"/>
          <w:sz w:val="24"/>
          <w:szCs w:val="24"/>
        </w:rPr>
      </w:pPr>
    </w:p>
    <w:p w14:paraId="6FF16920" w14:textId="223875FF" w:rsidR="006A14D8" w:rsidRPr="008460F3" w:rsidRDefault="00732BBE" w:rsidP="008460F3">
      <w:pPr>
        <w:pStyle w:val="Informal1"/>
        <w:ind w:left="2880" w:right="-126" w:hanging="2880"/>
        <w:rPr>
          <w:rFonts w:ascii="Trebuchet MS" w:hAnsi="Trebuchet MS"/>
          <w:iCs/>
          <w:sz w:val="22"/>
          <w:szCs w:val="22"/>
        </w:rPr>
      </w:pPr>
      <w:r>
        <w:rPr>
          <w:rFonts w:ascii="Trebuchet MS" w:hAnsi="Trebuchet MS"/>
          <w:iCs/>
          <w:sz w:val="22"/>
          <w:szCs w:val="22"/>
        </w:rPr>
        <w:tab/>
      </w:r>
      <w:r w:rsidR="00BB6417">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5DDFF"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07CD279" w14:textId="76B5F129" w:rsidR="00FB6F51" w:rsidRPr="00C241AA" w:rsidRDefault="00011447" w:rsidP="00FB6F51">
      <w:pPr>
        <w:pStyle w:val="Informal2"/>
        <w:tabs>
          <w:tab w:val="right" w:pos="2160"/>
        </w:tabs>
      </w:pPr>
      <w:r>
        <w:t>2:20 pm</w:t>
      </w:r>
      <w:r w:rsidR="00FB6F51" w:rsidRPr="002B1B26">
        <w:tab/>
      </w:r>
      <w:r w:rsidR="00FB6F51" w:rsidRPr="002B1B26">
        <w:tab/>
      </w:r>
      <w:r w:rsidR="00261D6B">
        <w:t>Closing Discussion &amp; Next Steps</w:t>
      </w:r>
    </w:p>
    <w:p w14:paraId="0FA35203" w14:textId="77777777" w:rsidR="00FB6F51" w:rsidRDefault="00FB6F51" w:rsidP="00FB6F51">
      <w:pPr>
        <w:ind w:left="2160" w:firstLine="72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Subcommittee Chair</w:t>
      </w:r>
    </w:p>
    <w:p w14:paraId="7DB5F4D2" w14:textId="52DB3612" w:rsidR="001918B6" w:rsidRPr="001918B6" w:rsidRDefault="001918B6" w:rsidP="001918B6">
      <w:pPr>
        <w:ind w:left="2880"/>
        <w:rPr>
          <w:rFonts w:ascii="Arial" w:hAnsi="Arial" w:cs="Arial"/>
          <w:color w:val="FF0000"/>
          <w:sz w:val="24"/>
          <w:szCs w:val="24"/>
        </w:rPr>
      </w:pPr>
      <w:r w:rsidRPr="001918B6">
        <w:rPr>
          <w:rFonts w:ascii="Arial" w:hAnsi="Arial" w:cs="Arial"/>
          <w:color w:val="FF0000"/>
          <w:sz w:val="24"/>
          <w:szCs w:val="24"/>
        </w:rPr>
        <w:t>Chair Abramson and Carl outlined next steps: CDHE will send the</w:t>
      </w:r>
      <w:r>
        <w:rPr>
          <w:rFonts w:ascii="Arial" w:hAnsi="Arial" w:cs="Arial"/>
          <w:color w:val="FF0000"/>
          <w:sz w:val="24"/>
          <w:szCs w:val="24"/>
        </w:rPr>
        <w:t xml:space="preserve"> slide deck</w:t>
      </w:r>
      <w:r w:rsidRPr="001918B6">
        <w:rPr>
          <w:rFonts w:ascii="Arial" w:hAnsi="Arial" w:cs="Arial"/>
          <w:color w:val="FF0000"/>
          <w:sz w:val="24"/>
          <w:szCs w:val="24"/>
        </w:rPr>
        <w:t>, full list of audit recommendations, and the policy section slated for revision. The February 24 meeting will be held as scheduled; afterward, meetings will shift to a monthly cadence. The group discussed scheduling preferences, agreeing that Thursday afternoons are not ideal due to legislative committees. A poll will be issued to determine a regular monthly meeting time, likely early-to-mid week in the afternoons. Chair Abramson encouraged members to contact him directly with ideas, concerns, or broader system-level reflections before upcoming meetings.</w:t>
      </w:r>
    </w:p>
    <w:p w14:paraId="46573963" w14:textId="77777777" w:rsidR="00FB6F51" w:rsidRDefault="00FB6F51" w:rsidP="00272F68">
      <w:pPr>
        <w:pStyle w:val="Informal2"/>
        <w:tabs>
          <w:tab w:val="right" w:pos="2160"/>
        </w:tabs>
        <w:ind w:left="2880" w:hanging="2880"/>
      </w:pPr>
    </w:p>
    <w:p w14:paraId="380CB5C4" w14:textId="496A99C5" w:rsidR="00FB6F51" w:rsidRDefault="00FB6F51" w:rsidP="00272F68">
      <w:pPr>
        <w:pStyle w:val="Informal2"/>
        <w:tabs>
          <w:tab w:val="right" w:pos="2160"/>
        </w:tabs>
        <w:ind w:left="2880" w:hanging="2880"/>
      </w:pPr>
      <w:r>
        <w:rPr>
          <w:rFonts w:ascii="Trebuchet MS" w:hAnsi="Trebuchet MS"/>
          <w:noProof/>
        </w:rPr>
        <mc:AlternateContent>
          <mc:Choice Requires="wps">
            <w:drawing>
              <wp:anchor distT="0" distB="0" distL="114300" distR="114300" simplePos="0" relativeHeight="251683840" behindDoc="0" locked="0" layoutInCell="1" allowOverlap="1" wp14:anchorId="1999E559" wp14:editId="40004573">
                <wp:simplePos x="0" y="0"/>
                <wp:positionH relativeFrom="margin">
                  <wp:posOffset>0</wp:posOffset>
                </wp:positionH>
                <wp:positionV relativeFrom="paragraph">
                  <wp:posOffset>57150</wp:posOffset>
                </wp:positionV>
                <wp:extent cx="6105525" cy="0"/>
                <wp:effectExtent l="38100" t="57150" r="66675" b="114300"/>
                <wp:wrapNone/>
                <wp:docPr id="2021350999" name="Straight Connector 20213509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EBA3" id="Straight Connector 2021350999" o:spid="_x0000_s1026" alt="&quot;&quot;"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6C1F97FE" w:rsidR="0017343D" w:rsidRPr="00D92EDC" w:rsidRDefault="00430687" w:rsidP="00272F68">
      <w:pPr>
        <w:pStyle w:val="Informal2"/>
        <w:tabs>
          <w:tab w:val="right" w:pos="2160"/>
        </w:tabs>
        <w:ind w:left="2880" w:hanging="2880"/>
      </w:pPr>
      <w:r w:rsidRPr="002B1B26">
        <w:t>Next meeting date:</w:t>
      </w:r>
      <w:r w:rsidR="00A47DB5">
        <w:t xml:space="preserve"> </w:t>
      </w:r>
      <w:r w:rsidR="003523E6">
        <w:t>Tuesday, February 24</w:t>
      </w:r>
      <w:r w:rsidR="00BD2B00">
        <w:t>, 2026 – 1</w:t>
      </w:r>
      <w:r w:rsidR="003523E6">
        <w:t>0</w:t>
      </w:r>
      <w:r w:rsidR="00BD2B00">
        <w:t>:</w:t>
      </w:r>
      <w:r w:rsidR="003523E6">
        <w:t>30 am</w:t>
      </w:r>
      <w:r w:rsidR="00BD2B00">
        <w:t xml:space="preserve"> – </w:t>
      </w:r>
      <w:r w:rsidR="003523E6">
        <w:t>12:00</w:t>
      </w:r>
      <w:r w:rsidR="00BD2B00">
        <w:t xml:space="preserve"> pm </w:t>
      </w:r>
    </w:p>
    <w:p w14:paraId="18A7B858" w14:textId="77777777" w:rsidR="0017343D" w:rsidRDefault="0017343D" w:rsidP="008460F3">
      <w:pPr>
        <w:rPr>
          <w:rFonts w:ascii="Arial" w:hAnsi="Arial" w:cs="Arial"/>
          <w:color w:val="FF0000"/>
          <w:sz w:val="24"/>
          <w:szCs w:val="24"/>
        </w:rPr>
      </w:pPr>
    </w:p>
    <w:p w14:paraId="1BDE44AE" w14:textId="77777777" w:rsidR="00A63A16" w:rsidRDefault="00A63A16">
      <w:pPr>
        <w:rPr>
          <w:rFonts w:ascii="Arial" w:hAnsi="Arial" w:cs="Arial"/>
        </w:rPr>
      </w:pPr>
    </w:p>
    <w:p w14:paraId="31CD2E40" w14:textId="77777777" w:rsidR="00272F68" w:rsidRPr="002B1B26" w:rsidRDefault="00272F68">
      <w:pPr>
        <w:rPr>
          <w:rFonts w:ascii="Arial" w:hAnsi="Arial" w:cs="Arial"/>
        </w:rPr>
      </w:pPr>
    </w:p>
    <w:p w14:paraId="73ABB2FE" w14:textId="1C3794B8" w:rsidR="008A2A1F" w:rsidRPr="002B1B26" w:rsidRDefault="008A2A1F">
      <w:pPr>
        <w:rPr>
          <w:rFonts w:ascii="Arial" w:hAnsi="Arial" w:cs="Arial"/>
          <w:b/>
          <w:sz w:val="24"/>
          <w:szCs w:val="24"/>
        </w:rPr>
      </w:pPr>
      <w:r w:rsidRPr="002B1B26">
        <w:rPr>
          <w:rFonts w:ascii="Arial" w:hAnsi="Arial" w:cs="Arial"/>
          <w:b/>
          <w:sz w:val="24"/>
          <w:szCs w:val="24"/>
        </w:rPr>
        <w:lastRenderedPageBreak/>
        <w:t>ACTION ITEMS</w:t>
      </w:r>
    </w:p>
    <w:p w14:paraId="1CFE9ED4" w14:textId="77777777" w:rsidR="008A2A1F" w:rsidRPr="002B1B26" w:rsidRDefault="008A2A1F">
      <w:pPr>
        <w:rPr>
          <w:rFonts w:ascii="Arial" w:hAnsi="Arial" w:cs="Arial"/>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8A2A1F">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bookmarkStart w:id="3" w:name="AdditionalInformation"/>
      <w:bookmarkEnd w:id="3"/>
    </w:p>
    <w:sectPr w:rsidR="002A471F" w:rsidRPr="002B1B26" w:rsidSect="00F97AA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4633516E" w:rsidR="00AE4F92" w:rsidRPr="007F1DB1" w:rsidRDefault="00617B0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4633516E" w:rsidR="00AE4F92" w:rsidRPr="007F1DB1" w:rsidRDefault="00617B0C" w:rsidP="00AE4F92">
                    <w:pPr>
                      <w:jc w:val="right"/>
                      <w:rPr>
                        <w:rFonts w:ascii="Trebuchet MS" w:hAnsi="Trebuchet MS"/>
                        <w:sz w:val="16"/>
                      </w:rPr>
                    </w:pPr>
                    <w:r>
                      <w:rPr>
                        <w:rFonts w:ascii="Trebuchet MS" w:hAnsi="Trebuchet MS"/>
                        <w:sz w:val="16"/>
                      </w:rPr>
                      <w:t>J.B. Holston</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9F4C909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B9944F1"/>
    <w:multiLevelType w:val="hybridMultilevel"/>
    <w:tmpl w:val="3918C22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B346E47"/>
    <w:multiLevelType w:val="hybridMultilevel"/>
    <w:tmpl w:val="DC9C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486509C9"/>
    <w:multiLevelType w:val="hybridMultilevel"/>
    <w:tmpl w:val="054EEC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BC260FB"/>
    <w:multiLevelType w:val="hybridMultilevel"/>
    <w:tmpl w:val="7182F040"/>
    <w:lvl w:ilvl="0" w:tplc="453EE63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7"/>
  </w:num>
  <w:num w:numId="2" w16cid:durableId="1345016178">
    <w:abstractNumId w:val="8"/>
  </w:num>
  <w:num w:numId="3" w16cid:durableId="855119947">
    <w:abstractNumId w:val="4"/>
  </w:num>
  <w:num w:numId="4" w16cid:durableId="1728718574">
    <w:abstractNumId w:val="2"/>
  </w:num>
  <w:num w:numId="5" w16cid:durableId="545222613">
    <w:abstractNumId w:val="0"/>
  </w:num>
  <w:num w:numId="6" w16cid:durableId="769665574">
    <w:abstractNumId w:val="3"/>
  </w:num>
  <w:num w:numId="7" w16cid:durableId="1759516500">
    <w:abstractNumId w:val="6"/>
  </w:num>
  <w:num w:numId="8" w16cid:durableId="1629779005">
    <w:abstractNumId w:val="1"/>
  </w:num>
  <w:num w:numId="9" w16cid:durableId="96458293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447"/>
    <w:rsid w:val="000118DD"/>
    <w:rsid w:val="000123F5"/>
    <w:rsid w:val="00013DD1"/>
    <w:rsid w:val="000154AD"/>
    <w:rsid w:val="000170E4"/>
    <w:rsid w:val="00025C55"/>
    <w:rsid w:val="000332D8"/>
    <w:rsid w:val="00033957"/>
    <w:rsid w:val="0003468C"/>
    <w:rsid w:val="00034BF9"/>
    <w:rsid w:val="000366E1"/>
    <w:rsid w:val="00040DC4"/>
    <w:rsid w:val="00041442"/>
    <w:rsid w:val="00042BAF"/>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AAD"/>
    <w:rsid w:val="00077B14"/>
    <w:rsid w:val="000814A2"/>
    <w:rsid w:val="00082847"/>
    <w:rsid w:val="00084BED"/>
    <w:rsid w:val="000854F8"/>
    <w:rsid w:val="000863B2"/>
    <w:rsid w:val="0008686A"/>
    <w:rsid w:val="000913EC"/>
    <w:rsid w:val="00093CA8"/>
    <w:rsid w:val="000961B4"/>
    <w:rsid w:val="000966B5"/>
    <w:rsid w:val="00097C54"/>
    <w:rsid w:val="000A118B"/>
    <w:rsid w:val="000A21AF"/>
    <w:rsid w:val="000A380F"/>
    <w:rsid w:val="000A3AB7"/>
    <w:rsid w:val="000A496D"/>
    <w:rsid w:val="000A5CC4"/>
    <w:rsid w:val="000B03F4"/>
    <w:rsid w:val="000B2C28"/>
    <w:rsid w:val="000B5666"/>
    <w:rsid w:val="000B57ED"/>
    <w:rsid w:val="000B5843"/>
    <w:rsid w:val="000B6817"/>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3173"/>
    <w:rsid w:val="000E5EF4"/>
    <w:rsid w:val="000E68A2"/>
    <w:rsid w:val="000E72A1"/>
    <w:rsid w:val="000E7820"/>
    <w:rsid w:val="000F0415"/>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18B6"/>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2988"/>
    <w:rsid w:val="001F4DFA"/>
    <w:rsid w:val="001F5894"/>
    <w:rsid w:val="001F603E"/>
    <w:rsid w:val="001F7B31"/>
    <w:rsid w:val="002022FF"/>
    <w:rsid w:val="00202814"/>
    <w:rsid w:val="00203051"/>
    <w:rsid w:val="00203112"/>
    <w:rsid w:val="002162EE"/>
    <w:rsid w:val="0021787A"/>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47FE"/>
    <w:rsid w:val="00256801"/>
    <w:rsid w:val="00256B37"/>
    <w:rsid w:val="00260052"/>
    <w:rsid w:val="00260CEF"/>
    <w:rsid w:val="00261D6B"/>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3378"/>
    <w:rsid w:val="002948A2"/>
    <w:rsid w:val="002949F0"/>
    <w:rsid w:val="002949F6"/>
    <w:rsid w:val="00294CDC"/>
    <w:rsid w:val="00295C5D"/>
    <w:rsid w:val="00296483"/>
    <w:rsid w:val="00297B14"/>
    <w:rsid w:val="002A0D8E"/>
    <w:rsid w:val="002A35F9"/>
    <w:rsid w:val="002A3871"/>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3791"/>
    <w:rsid w:val="002D3BAB"/>
    <w:rsid w:val="002D4F7A"/>
    <w:rsid w:val="002D610B"/>
    <w:rsid w:val="002D6EE0"/>
    <w:rsid w:val="002D7795"/>
    <w:rsid w:val="002D7BCD"/>
    <w:rsid w:val="002D7E28"/>
    <w:rsid w:val="002E090C"/>
    <w:rsid w:val="002E2A96"/>
    <w:rsid w:val="002E4B91"/>
    <w:rsid w:val="002E50D7"/>
    <w:rsid w:val="002E54B9"/>
    <w:rsid w:val="002E7455"/>
    <w:rsid w:val="002F02F8"/>
    <w:rsid w:val="002F333D"/>
    <w:rsid w:val="002F395F"/>
    <w:rsid w:val="002F480C"/>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23E6"/>
    <w:rsid w:val="003527FC"/>
    <w:rsid w:val="00355B43"/>
    <w:rsid w:val="003563D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779"/>
    <w:rsid w:val="003D28F8"/>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765F"/>
    <w:rsid w:val="00400380"/>
    <w:rsid w:val="00401EF2"/>
    <w:rsid w:val="00403B25"/>
    <w:rsid w:val="00404714"/>
    <w:rsid w:val="004057FE"/>
    <w:rsid w:val="0040592B"/>
    <w:rsid w:val="004109C0"/>
    <w:rsid w:val="0041312D"/>
    <w:rsid w:val="00426E27"/>
    <w:rsid w:val="00430687"/>
    <w:rsid w:val="00430D8A"/>
    <w:rsid w:val="00431E1E"/>
    <w:rsid w:val="00440439"/>
    <w:rsid w:val="00440995"/>
    <w:rsid w:val="00441BE2"/>
    <w:rsid w:val="00441CF8"/>
    <w:rsid w:val="00443E44"/>
    <w:rsid w:val="00445197"/>
    <w:rsid w:val="0044620D"/>
    <w:rsid w:val="00446D8D"/>
    <w:rsid w:val="0044766B"/>
    <w:rsid w:val="00447AD7"/>
    <w:rsid w:val="004539D7"/>
    <w:rsid w:val="0045404E"/>
    <w:rsid w:val="00455E0E"/>
    <w:rsid w:val="00457C83"/>
    <w:rsid w:val="00460695"/>
    <w:rsid w:val="00461211"/>
    <w:rsid w:val="00461DDA"/>
    <w:rsid w:val="0046244C"/>
    <w:rsid w:val="00462771"/>
    <w:rsid w:val="00464630"/>
    <w:rsid w:val="00464CFA"/>
    <w:rsid w:val="00466179"/>
    <w:rsid w:val="004665EB"/>
    <w:rsid w:val="004672EC"/>
    <w:rsid w:val="00471EAF"/>
    <w:rsid w:val="00472231"/>
    <w:rsid w:val="00472668"/>
    <w:rsid w:val="00474499"/>
    <w:rsid w:val="004759AA"/>
    <w:rsid w:val="004800CD"/>
    <w:rsid w:val="00483BD1"/>
    <w:rsid w:val="00486161"/>
    <w:rsid w:val="00487E03"/>
    <w:rsid w:val="0049068F"/>
    <w:rsid w:val="00490C99"/>
    <w:rsid w:val="004924E8"/>
    <w:rsid w:val="00494481"/>
    <w:rsid w:val="00495049"/>
    <w:rsid w:val="00496006"/>
    <w:rsid w:val="00496975"/>
    <w:rsid w:val="00497608"/>
    <w:rsid w:val="004A1D14"/>
    <w:rsid w:val="004A3432"/>
    <w:rsid w:val="004A457C"/>
    <w:rsid w:val="004A4641"/>
    <w:rsid w:val="004A4BBA"/>
    <w:rsid w:val="004A52D9"/>
    <w:rsid w:val="004B0993"/>
    <w:rsid w:val="004B0F6A"/>
    <w:rsid w:val="004B27EC"/>
    <w:rsid w:val="004B2E7D"/>
    <w:rsid w:val="004B380D"/>
    <w:rsid w:val="004B3BAE"/>
    <w:rsid w:val="004B62FF"/>
    <w:rsid w:val="004B747E"/>
    <w:rsid w:val="004C08A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352AC"/>
    <w:rsid w:val="00536816"/>
    <w:rsid w:val="00536A8C"/>
    <w:rsid w:val="00537CEE"/>
    <w:rsid w:val="00541307"/>
    <w:rsid w:val="00544A61"/>
    <w:rsid w:val="00545933"/>
    <w:rsid w:val="00550368"/>
    <w:rsid w:val="0055115B"/>
    <w:rsid w:val="00551FAB"/>
    <w:rsid w:val="00552CF7"/>
    <w:rsid w:val="00554CAE"/>
    <w:rsid w:val="00556FAA"/>
    <w:rsid w:val="005603D0"/>
    <w:rsid w:val="005626AF"/>
    <w:rsid w:val="00562EE8"/>
    <w:rsid w:val="00564A90"/>
    <w:rsid w:val="00564C5F"/>
    <w:rsid w:val="00570B51"/>
    <w:rsid w:val="00572A00"/>
    <w:rsid w:val="00576460"/>
    <w:rsid w:val="00577F75"/>
    <w:rsid w:val="005806B6"/>
    <w:rsid w:val="00581CC1"/>
    <w:rsid w:val="0058382F"/>
    <w:rsid w:val="00585DBA"/>
    <w:rsid w:val="0058778D"/>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0D12"/>
    <w:rsid w:val="005B1519"/>
    <w:rsid w:val="005B159B"/>
    <w:rsid w:val="005B2FFC"/>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3594"/>
    <w:rsid w:val="005F4B56"/>
    <w:rsid w:val="005F64F3"/>
    <w:rsid w:val="0060410D"/>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17B0C"/>
    <w:rsid w:val="00620777"/>
    <w:rsid w:val="0062250D"/>
    <w:rsid w:val="00623F14"/>
    <w:rsid w:val="0062403A"/>
    <w:rsid w:val="00624CAE"/>
    <w:rsid w:val="00625332"/>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61E4"/>
    <w:rsid w:val="00806E49"/>
    <w:rsid w:val="0081014D"/>
    <w:rsid w:val="00812386"/>
    <w:rsid w:val="00812CBD"/>
    <w:rsid w:val="00813127"/>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5557"/>
    <w:rsid w:val="00895BED"/>
    <w:rsid w:val="00897F52"/>
    <w:rsid w:val="008A0156"/>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0E6C"/>
    <w:rsid w:val="008C1247"/>
    <w:rsid w:val="008C392D"/>
    <w:rsid w:val="008C42DB"/>
    <w:rsid w:val="008C4516"/>
    <w:rsid w:val="008C4CED"/>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93705"/>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43CD"/>
    <w:rsid w:val="009E5F89"/>
    <w:rsid w:val="009E69B7"/>
    <w:rsid w:val="009F0332"/>
    <w:rsid w:val="009F1CE5"/>
    <w:rsid w:val="009F1FFB"/>
    <w:rsid w:val="009F250B"/>
    <w:rsid w:val="009F411C"/>
    <w:rsid w:val="009F50C5"/>
    <w:rsid w:val="009F6899"/>
    <w:rsid w:val="009F715F"/>
    <w:rsid w:val="00A00C3F"/>
    <w:rsid w:val="00A01B26"/>
    <w:rsid w:val="00A02769"/>
    <w:rsid w:val="00A0355D"/>
    <w:rsid w:val="00A03B7E"/>
    <w:rsid w:val="00A03C46"/>
    <w:rsid w:val="00A03E15"/>
    <w:rsid w:val="00A03FE3"/>
    <w:rsid w:val="00A05615"/>
    <w:rsid w:val="00A056F3"/>
    <w:rsid w:val="00A05956"/>
    <w:rsid w:val="00A06BD7"/>
    <w:rsid w:val="00A111FA"/>
    <w:rsid w:val="00A112A3"/>
    <w:rsid w:val="00A122F4"/>
    <w:rsid w:val="00A12B09"/>
    <w:rsid w:val="00A13545"/>
    <w:rsid w:val="00A13978"/>
    <w:rsid w:val="00A15960"/>
    <w:rsid w:val="00A1793A"/>
    <w:rsid w:val="00A17FC8"/>
    <w:rsid w:val="00A20308"/>
    <w:rsid w:val="00A2222F"/>
    <w:rsid w:val="00A23ACA"/>
    <w:rsid w:val="00A3717B"/>
    <w:rsid w:val="00A37A40"/>
    <w:rsid w:val="00A4071F"/>
    <w:rsid w:val="00A412ED"/>
    <w:rsid w:val="00A41C81"/>
    <w:rsid w:val="00A42AB8"/>
    <w:rsid w:val="00A44737"/>
    <w:rsid w:val="00A44B18"/>
    <w:rsid w:val="00A47473"/>
    <w:rsid w:val="00A479CC"/>
    <w:rsid w:val="00A47DB5"/>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2FE4"/>
    <w:rsid w:val="00AF3A71"/>
    <w:rsid w:val="00AF6855"/>
    <w:rsid w:val="00AF693D"/>
    <w:rsid w:val="00B01755"/>
    <w:rsid w:val="00B030F2"/>
    <w:rsid w:val="00B05133"/>
    <w:rsid w:val="00B0560B"/>
    <w:rsid w:val="00B05A1A"/>
    <w:rsid w:val="00B05D1B"/>
    <w:rsid w:val="00B06272"/>
    <w:rsid w:val="00B0645C"/>
    <w:rsid w:val="00B06710"/>
    <w:rsid w:val="00B10E83"/>
    <w:rsid w:val="00B11CB9"/>
    <w:rsid w:val="00B12ABC"/>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14AA"/>
    <w:rsid w:val="00BA2E35"/>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0D81"/>
    <w:rsid w:val="00BD2B00"/>
    <w:rsid w:val="00BD3306"/>
    <w:rsid w:val="00BD3EBE"/>
    <w:rsid w:val="00BD701E"/>
    <w:rsid w:val="00BE0CBA"/>
    <w:rsid w:val="00BE5207"/>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41E9"/>
    <w:rsid w:val="00C374D2"/>
    <w:rsid w:val="00C40523"/>
    <w:rsid w:val="00C418B5"/>
    <w:rsid w:val="00C41C42"/>
    <w:rsid w:val="00C4208D"/>
    <w:rsid w:val="00C45030"/>
    <w:rsid w:val="00C457D1"/>
    <w:rsid w:val="00C5393D"/>
    <w:rsid w:val="00C53AB5"/>
    <w:rsid w:val="00C53AEE"/>
    <w:rsid w:val="00C54B0B"/>
    <w:rsid w:val="00C55147"/>
    <w:rsid w:val="00C56CB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75A3"/>
    <w:rsid w:val="00CA7DDA"/>
    <w:rsid w:val="00CB1F30"/>
    <w:rsid w:val="00CB28A9"/>
    <w:rsid w:val="00CB296B"/>
    <w:rsid w:val="00CB3D6C"/>
    <w:rsid w:val="00CB487E"/>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5272"/>
    <w:rsid w:val="00CF56E6"/>
    <w:rsid w:val="00CF5738"/>
    <w:rsid w:val="00CF6EE8"/>
    <w:rsid w:val="00D00D8C"/>
    <w:rsid w:val="00D03033"/>
    <w:rsid w:val="00D03ECD"/>
    <w:rsid w:val="00D04A8D"/>
    <w:rsid w:val="00D05D68"/>
    <w:rsid w:val="00D10D0F"/>
    <w:rsid w:val="00D11161"/>
    <w:rsid w:val="00D11823"/>
    <w:rsid w:val="00D1604D"/>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7A7"/>
    <w:rsid w:val="00DA3592"/>
    <w:rsid w:val="00DA38FF"/>
    <w:rsid w:val="00DA3BFC"/>
    <w:rsid w:val="00DA4DAD"/>
    <w:rsid w:val="00DA608F"/>
    <w:rsid w:val="00DA6598"/>
    <w:rsid w:val="00DB0561"/>
    <w:rsid w:val="00DB07B1"/>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20F6"/>
    <w:rsid w:val="00E440DE"/>
    <w:rsid w:val="00E4438D"/>
    <w:rsid w:val="00E449E8"/>
    <w:rsid w:val="00E46DD3"/>
    <w:rsid w:val="00E50F0B"/>
    <w:rsid w:val="00E51C4F"/>
    <w:rsid w:val="00E569F5"/>
    <w:rsid w:val="00E56B15"/>
    <w:rsid w:val="00E57C12"/>
    <w:rsid w:val="00E600BF"/>
    <w:rsid w:val="00E61BF3"/>
    <w:rsid w:val="00E62753"/>
    <w:rsid w:val="00E652D8"/>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61E4"/>
    <w:rsid w:val="00ED7066"/>
    <w:rsid w:val="00EE02B2"/>
    <w:rsid w:val="00EE2528"/>
    <w:rsid w:val="00EE2B4B"/>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0F6B"/>
    <w:rsid w:val="00F8216F"/>
    <w:rsid w:val="00F82A46"/>
    <w:rsid w:val="00F82C83"/>
    <w:rsid w:val="00F83919"/>
    <w:rsid w:val="00F90ACB"/>
    <w:rsid w:val="00F91521"/>
    <w:rsid w:val="00F95A1D"/>
    <w:rsid w:val="00F97AAC"/>
    <w:rsid w:val="00FA093D"/>
    <w:rsid w:val="00FA2D01"/>
    <w:rsid w:val="00FA2E6B"/>
    <w:rsid w:val="00FA6019"/>
    <w:rsid w:val="00FA68BE"/>
    <w:rsid w:val="00FB273F"/>
    <w:rsid w:val="00FB416B"/>
    <w:rsid w:val="00FB5840"/>
    <w:rsid w:val="00FB5D98"/>
    <w:rsid w:val="00FB6CC4"/>
    <w:rsid w:val="00FB6EA7"/>
    <w:rsid w:val="00FB6F51"/>
    <w:rsid w:val="00FB753A"/>
    <w:rsid w:val="00FC06BD"/>
    <w:rsid w:val="00FC13C6"/>
    <w:rsid w:val="00FC2F41"/>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 w:type="paragraph" w:customStyle="1" w:styleId="xmsonormal">
    <w:name w:val="x_msonormal"/>
    <w:basedOn w:val="Normal"/>
    <w:rsid w:val="003523E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m11.safelinks.protection.outlook.com/?url=https%3A%2F%2Fhighered-colorado-gov.zoom.us%2Fj%2F84693711713%3Fpwd%3DPKNJADaTRNvY8vbJOiQD6pilknzNe1.1&amp;data=05%7C02%7CBrad.Griffith%40dhe.state.co.us%7C02a9bb6239ce4a489c3708de3e4a9da8%7C472b2de6094648849c95a8326b5e99f5%7C0%7C0%7C639016687375430497%7CUnknown%7CTWFpbGZsb3d8eyJFbXB0eU1hcGkiOnRydWUsIlYiOiIwLjAuMDAwMCIsIlAiOiJXaW4zMiIsIkFOIjoiTWFpbCIsIldUIjoyfQ%3D%3D%7C0%7C%7C%7C&amp;sdata=IVrZ4joN%2FXNJ3EItS%2BCVBsxEeFoDbewY0hgjdqwRkc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925</Words>
  <Characters>6654</Characters>
  <Application>Microsoft Office Word</Application>
  <DocSecurity>0</DocSecurity>
  <Lines>554</Lines>
  <Paragraphs>280</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9</cp:revision>
  <cp:lastPrinted>2021-03-26T16:04:00Z</cp:lastPrinted>
  <dcterms:created xsi:type="dcterms:W3CDTF">2026-02-12T19:56:00Z</dcterms:created>
  <dcterms:modified xsi:type="dcterms:W3CDTF">2026-02-17T18:30:00Z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