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vAlign w:val="center"/>
          </w:tcPr>
          <w:p w14:paraId="2CC2726C" w14:textId="4E0BA532" w:rsidR="007268CA" w:rsidRPr="002B1B26" w:rsidRDefault="007268CA" w:rsidP="007268CA">
            <w:pPr>
              <w:pStyle w:val="Informal1"/>
              <w:rPr>
                <w:rFonts w:ascii="Arial" w:hAnsi="Arial" w:cs="Arial"/>
                <w:b/>
                <w:bCs/>
              </w:rPr>
            </w:pPr>
            <w:r w:rsidRPr="002B1B26">
              <w:rPr>
                <w:rFonts w:ascii="Arial" w:hAnsi="Arial" w:cs="Arial"/>
                <w:b/>
                <w:bCs/>
              </w:rPr>
              <w:t xml:space="preserve">CCHE </w:t>
            </w:r>
            <w:r w:rsidR="00FB6F51">
              <w:rPr>
                <w:rFonts w:ascii="Arial" w:hAnsi="Arial" w:cs="Arial"/>
                <w:b/>
                <w:bCs/>
              </w:rPr>
              <w:t>Transfer Subcommittee</w:t>
            </w:r>
          </w:p>
          <w:p w14:paraId="3AAC6D3B" w14:textId="66DD5238" w:rsidR="007268CA" w:rsidRPr="002B1B26" w:rsidRDefault="004539D7" w:rsidP="00F97AAC">
            <w:pPr>
              <w:pStyle w:val="Informal1"/>
              <w:spacing w:before="0" w:after="0"/>
              <w:rPr>
                <w:rFonts w:ascii="Arial" w:hAnsi="Arial" w:cs="Arial"/>
                <w:b/>
                <w:bCs/>
              </w:rPr>
            </w:pPr>
            <w:r>
              <w:rPr>
                <w:rFonts w:ascii="Arial" w:hAnsi="Arial" w:cs="Arial"/>
                <w:b/>
                <w:bCs/>
              </w:rPr>
              <w:t>Monday</w:t>
            </w:r>
            <w:r w:rsidR="00A03C46">
              <w:rPr>
                <w:rFonts w:ascii="Arial" w:hAnsi="Arial" w:cs="Arial"/>
                <w:b/>
                <w:bCs/>
              </w:rPr>
              <w:t xml:space="preserve">, January </w:t>
            </w:r>
            <w:r>
              <w:rPr>
                <w:rFonts w:ascii="Arial" w:hAnsi="Arial" w:cs="Arial"/>
                <w:b/>
                <w:bCs/>
              </w:rPr>
              <w:t>26</w:t>
            </w:r>
            <w:r w:rsidR="00A03C46">
              <w:rPr>
                <w:rFonts w:ascii="Arial" w:hAnsi="Arial" w:cs="Arial"/>
                <w:b/>
                <w:bCs/>
              </w:rPr>
              <w:t>, 2026</w:t>
            </w:r>
          </w:p>
          <w:p w14:paraId="03E73BAA" w14:textId="2E85E078" w:rsidR="00F97AAC" w:rsidRPr="002B1B26" w:rsidRDefault="004539D7" w:rsidP="00F97AAC">
            <w:pPr>
              <w:pStyle w:val="Informal1"/>
              <w:spacing w:before="0" w:after="0"/>
              <w:rPr>
                <w:rFonts w:ascii="Arial" w:hAnsi="Arial" w:cs="Arial"/>
                <w:b/>
                <w:bCs/>
              </w:rPr>
            </w:pPr>
            <w:r>
              <w:rPr>
                <w:rFonts w:ascii="Arial" w:hAnsi="Arial" w:cs="Arial"/>
                <w:b/>
                <w:bCs/>
              </w:rPr>
              <w:t>1:00 – 2:30 pm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4E685605" w14:textId="77777777" w:rsidR="004539D7" w:rsidRPr="004539D7" w:rsidRDefault="004539D7" w:rsidP="004539D7">
            <w:pPr>
              <w:pStyle w:val="Informal2"/>
              <w:rPr>
                <w:b w:val="0"/>
                <w:bCs w:val="0"/>
                <w:sz w:val="22"/>
                <w:szCs w:val="22"/>
              </w:rPr>
            </w:pPr>
            <w:hyperlink r:id="rId7" w:history="1">
              <w:r w:rsidRPr="004539D7">
                <w:rPr>
                  <w:rStyle w:val="Hyperlink"/>
                  <w:b w:val="0"/>
                  <w:bCs w:val="0"/>
                  <w:sz w:val="22"/>
                  <w:szCs w:val="22"/>
                </w:rPr>
                <w:t>Join Zoom Meeting</w:t>
              </w:r>
            </w:hyperlink>
          </w:p>
          <w:p w14:paraId="13B8DDA7" w14:textId="77777777" w:rsidR="004539D7" w:rsidRPr="004539D7" w:rsidRDefault="004539D7" w:rsidP="004539D7">
            <w:pPr>
              <w:pStyle w:val="Informal2"/>
              <w:rPr>
                <w:b w:val="0"/>
                <w:bCs w:val="0"/>
                <w:sz w:val="22"/>
                <w:szCs w:val="22"/>
              </w:rPr>
            </w:pPr>
            <w:r w:rsidRPr="004539D7">
              <w:rPr>
                <w:b w:val="0"/>
                <w:bCs w:val="0"/>
                <w:sz w:val="22"/>
                <w:szCs w:val="22"/>
              </w:rPr>
              <w:t>Meeting ID: 872 7926 9896</w:t>
            </w:r>
          </w:p>
          <w:p w14:paraId="4BE914F2" w14:textId="422F5969" w:rsidR="00B34E8A" w:rsidRPr="008357B0" w:rsidRDefault="004539D7" w:rsidP="00272F68">
            <w:pPr>
              <w:pStyle w:val="Informal2"/>
            </w:pPr>
            <w:r w:rsidRPr="004539D7">
              <w:rPr>
                <w:b w:val="0"/>
                <w:bCs w:val="0"/>
                <w:sz w:val="22"/>
                <w:szCs w:val="22"/>
              </w:rPr>
              <w:t>Passcode: 287528</w:t>
            </w:r>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5A98E356" w:rsidR="00B34E8A" w:rsidRPr="002B1B26" w:rsidRDefault="00B34E8A" w:rsidP="00F97AAC">
            <w:pPr>
              <w:rPr>
                <w:rFonts w:ascii="Arial" w:hAnsi="Arial" w:cs="Arial"/>
              </w:rPr>
            </w:pPr>
            <w:r w:rsidRPr="002B1B26">
              <w:rPr>
                <w:rFonts w:ascii="Arial" w:hAnsi="Arial" w:cs="Arial"/>
              </w:rPr>
              <w:t xml:space="preserve">CCHE </w:t>
            </w:r>
            <w:r w:rsidR="00FB6F51">
              <w:rPr>
                <w:rFonts w:ascii="Arial" w:hAnsi="Arial" w:cs="Arial"/>
              </w:rPr>
              <w:t>Transfer Subcommittee Members, CDHE Staff</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327B77D2" w:rsidR="00B34E8A" w:rsidRPr="002B1B26" w:rsidRDefault="00B34E8A" w:rsidP="003B0E2B">
            <w:pPr>
              <w:autoSpaceDE w:val="0"/>
              <w:autoSpaceDN w:val="0"/>
              <w:rPr>
                <w:rFonts w:ascii="Arial" w:hAnsi="Arial" w:cs="Arial"/>
              </w:rPr>
            </w:pPr>
            <w:r w:rsidRPr="002B1B26">
              <w:rPr>
                <w:rFonts w:ascii="Arial" w:hAnsi="Arial" w:cs="Arial"/>
              </w:rPr>
              <w:t xml:space="preserve">Discuss student success and academic affairs topics in Colorado to advance </w:t>
            </w:r>
            <w:r w:rsidR="00FB6F51">
              <w:rPr>
                <w:rFonts w:ascii="Arial" w:hAnsi="Arial" w:cs="Arial"/>
              </w:rPr>
              <w:t xml:space="preserve">transfer student </w:t>
            </w:r>
            <w:r w:rsidRPr="002B1B26">
              <w:rPr>
                <w:rFonts w:ascii="Arial" w:hAnsi="Arial" w:cs="Arial"/>
              </w:rPr>
              <w:t>practices and policies</w:t>
            </w:r>
          </w:p>
        </w:tc>
      </w:tr>
    </w:tbl>
    <w:p w14:paraId="05806FAF" w14:textId="78B22F78" w:rsidR="00F97AAC" w:rsidRPr="002B1B26" w:rsidRDefault="00F97AAC">
      <w:pPr>
        <w:rPr>
          <w:rFonts w:ascii="Arial" w:hAnsi="Arial" w:cs="Arial"/>
          <w:b/>
          <w:bCs/>
        </w:rPr>
      </w:pPr>
    </w:p>
    <w:p w14:paraId="33CC3709" w14:textId="680FF7A2" w:rsidR="00BB1E96"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0533C059" w:rsidR="00B6223D" w:rsidRPr="002B1B26" w:rsidRDefault="00BD2B00" w:rsidP="00B6223D">
      <w:pPr>
        <w:pStyle w:val="Informal2"/>
        <w:tabs>
          <w:tab w:val="right" w:pos="2160"/>
        </w:tabs>
      </w:pPr>
      <w:r>
        <w:t>1:00 pm</w:t>
      </w:r>
      <w:r w:rsidR="00B6223D" w:rsidRPr="002B1B26">
        <w:tab/>
      </w:r>
      <w:r w:rsidR="003F5387" w:rsidRPr="002B1B26">
        <w:tab/>
      </w:r>
      <w:r w:rsidR="00B6223D" w:rsidRPr="002B1B26">
        <w:t>Greetings</w:t>
      </w:r>
      <w:r w:rsidR="00460695">
        <w:t>, Introductions, and Approval of Meeting Minutes</w:t>
      </w:r>
    </w:p>
    <w:p w14:paraId="4DFE46F0" w14:textId="77777777" w:rsidR="00261D6B"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FB6F51">
        <w:rPr>
          <w:b w:val="0"/>
          <w:bCs w:val="0"/>
          <w:i/>
          <w:iCs/>
          <w:color w:val="4F6228" w:themeColor="accent3" w:themeShade="80"/>
        </w:rPr>
        <w:t>Subc</w:t>
      </w:r>
      <w:r w:rsidR="00755D71" w:rsidRPr="002B1B26">
        <w:rPr>
          <w:b w:val="0"/>
          <w:bCs w:val="0"/>
          <w:i/>
          <w:iCs/>
          <w:color w:val="4F6228" w:themeColor="accent3" w:themeShade="80"/>
        </w:rPr>
        <w:t>ommittee Cha</w:t>
      </w:r>
      <w:r w:rsidR="00261D6B">
        <w:rPr>
          <w:b w:val="0"/>
          <w:bCs w:val="0"/>
          <w:i/>
          <w:iCs/>
          <w:color w:val="4F6228" w:themeColor="accent3" w:themeShade="80"/>
        </w:rPr>
        <w:t>ir</w:t>
      </w:r>
    </w:p>
    <w:p w14:paraId="305CEECD" w14:textId="027305D8" w:rsidR="00E47FAE" w:rsidRPr="00585A63" w:rsidRDefault="00E47FAE" w:rsidP="00E47FAE">
      <w:pPr>
        <w:pStyle w:val="Informal2"/>
        <w:tabs>
          <w:tab w:val="right" w:pos="2160"/>
        </w:tabs>
        <w:ind w:left="2880"/>
        <w:rPr>
          <w:b w:val="0"/>
          <w:bCs w:val="0"/>
          <w:color w:val="ED0000"/>
        </w:rPr>
      </w:pPr>
      <w:r w:rsidRPr="00585A63">
        <w:rPr>
          <w:b w:val="0"/>
          <w:bCs w:val="0"/>
          <w:color w:val="ED0000"/>
        </w:rPr>
        <w:t xml:space="preserve">Commissioner Walmer motioned to approve the January 14 meeting notes. Theresa Groff seconded the motion. No objections were made – notes were approved unanimously. </w:t>
      </w:r>
    </w:p>
    <w:p w14:paraId="6E1C7EF1" w14:textId="77777777" w:rsidR="00261D6B" w:rsidRDefault="00261D6B" w:rsidP="00B6223D">
      <w:pPr>
        <w:pStyle w:val="Informal2"/>
        <w:tabs>
          <w:tab w:val="right" w:pos="2160"/>
        </w:tabs>
        <w:rPr>
          <w:b w:val="0"/>
          <w:bCs w:val="0"/>
          <w:i/>
          <w:iCs/>
          <w:color w:val="4F6228" w:themeColor="accent3" w:themeShade="80"/>
        </w:rPr>
      </w:pP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C6121AE" w14:textId="3A74AA66" w:rsidR="00B6223D" w:rsidRPr="00144924" w:rsidRDefault="00BD2B00" w:rsidP="00144924">
      <w:pPr>
        <w:pStyle w:val="Informal2"/>
        <w:tabs>
          <w:tab w:val="right" w:pos="2160"/>
        </w:tabs>
        <w:ind w:left="2880" w:hanging="2880"/>
        <w:rPr>
          <w:color w:val="FF0000"/>
        </w:rPr>
      </w:pPr>
      <w:r>
        <w:t>1:05 pm</w:t>
      </w:r>
      <w:r w:rsidR="00B6223D" w:rsidRPr="002B1B26">
        <w:tab/>
      </w:r>
      <w:r w:rsidR="00B6223D" w:rsidRPr="002B1B26">
        <w:tab/>
      </w:r>
      <w:r>
        <w:t>Review of Proposed Policy Revision Processes for CDHE</w:t>
      </w:r>
      <w:r w:rsidR="00261D6B">
        <w:t xml:space="preserve"> </w:t>
      </w:r>
    </w:p>
    <w:p w14:paraId="4D01BC90" w14:textId="2FCEE55E" w:rsidR="00CB487E" w:rsidRDefault="00B6223D" w:rsidP="00460695">
      <w:pPr>
        <w:pStyle w:val="Informal2"/>
        <w:tabs>
          <w:tab w:val="right" w:pos="2160"/>
        </w:tabs>
        <w:rPr>
          <w:b w:val="0"/>
          <w:bCs w:val="0"/>
          <w:i/>
          <w:iCs/>
          <w:color w:val="4F6228" w:themeColor="accent3" w:themeShade="80"/>
        </w:rPr>
      </w:pPr>
      <w:r w:rsidRPr="002B1B26">
        <w:rPr>
          <w:i/>
          <w:iCs/>
          <w:color w:val="4F81BD" w:themeColor="accent1"/>
        </w:rPr>
        <w:tab/>
      </w:r>
      <w:r w:rsidRPr="002B1B26">
        <w:rPr>
          <w:i/>
          <w:iCs/>
          <w:color w:val="4F81BD" w:themeColor="accent1"/>
        </w:rPr>
        <w:tab/>
      </w:r>
      <w:r w:rsidR="00BD2B00">
        <w:rPr>
          <w:b w:val="0"/>
          <w:bCs w:val="0"/>
          <w:i/>
          <w:iCs/>
          <w:color w:val="4F6228" w:themeColor="accent3" w:themeShade="80"/>
        </w:rPr>
        <w:t>Brad Griffith</w:t>
      </w:r>
      <w:r w:rsidR="00460695">
        <w:rPr>
          <w:b w:val="0"/>
          <w:bCs w:val="0"/>
          <w:i/>
          <w:iCs/>
          <w:color w:val="4F6228" w:themeColor="accent3" w:themeShade="80"/>
        </w:rPr>
        <w:t>, CDHE</w:t>
      </w:r>
    </w:p>
    <w:p w14:paraId="6A25EBF6" w14:textId="2099B20C" w:rsidR="00E43C0D" w:rsidRPr="00585A63" w:rsidRDefault="00E43C0D" w:rsidP="00E43C0D">
      <w:pPr>
        <w:pStyle w:val="Informal2"/>
        <w:tabs>
          <w:tab w:val="right" w:pos="2160"/>
        </w:tabs>
        <w:ind w:left="2880"/>
        <w:rPr>
          <w:b w:val="0"/>
          <w:bCs w:val="0"/>
          <w:color w:val="ED0000"/>
        </w:rPr>
      </w:pPr>
      <w:r w:rsidRPr="00585A63">
        <w:rPr>
          <w:b w:val="0"/>
          <w:bCs w:val="0"/>
          <w:color w:val="ED0000"/>
        </w:rPr>
        <w:t>Brad provided an overview of a</w:t>
      </w:r>
      <w:r w:rsidRPr="00585A63">
        <w:rPr>
          <w:b w:val="0"/>
          <w:bCs w:val="0"/>
          <w:color w:val="ED0000"/>
        </w:rPr>
        <w:t xml:space="preserve"> new, comprehensive policy review and revision process that CDHE intends to pilot with the Transfer Subcommittee. Brad explained that unlike some states, Colorado does not currently have a structured or recurring review cycle for CCHE policies. In response to findings from the recent statewide transfer audit, CDHE is designing a five</w:t>
      </w:r>
      <w:r w:rsidRPr="00585A63">
        <w:rPr>
          <w:rFonts w:ascii="Cambria Math" w:hAnsi="Cambria Math" w:cs="Cambria Math"/>
          <w:b w:val="0"/>
          <w:bCs w:val="0"/>
          <w:color w:val="ED0000"/>
        </w:rPr>
        <w:t>‑</w:t>
      </w:r>
      <w:r w:rsidRPr="00585A63">
        <w:rPr>
          <w:b w:val="0"/>
          <w:bCs w:val="0"/>
          <w:color w:val="ED0000"/>
        </w:rPr>
        <w:t>year rolling policy review cycle, supported by a robust stakeholder</w:t>
      </w:r>
      <w:r w:rsidRPr="00585A63">
        <w:rPr>
          <w:rFonts w:ascii="Cambria Math" w:hAnsi="Cambria Math" w:cs="Cambria Math"/>
          <w:b w:val="0"/>
          <w:bCs w:val="0"/>
          <w:color w:val="ED0000"/>
        </w:rPr>
        <w:t>‑</w:t>
      </w:r>
      <w:r w:rsidRPr="00585A63">
        <w:rPr>
          <w:b w:val="0"/>
          <w:bCs w:val="0"/>
          <w:color w:val="ED0000"/>
        </w:rPr>
        <w:t>engagement infrastructure. Brad described an early</w:t>
      </w:r>
      <w:r w:rsidRPr="00585A63">
        <w:rPr>
          <w:rFonts w:ascii="Cambria Math" w:hAnsi="Cambria Math" w:cs="Cambria Math"/>
          <w:b w:val="0"/>
          <w:bCs w:val="0"/>
          <w:color w:val="ED0000"/>
        </w:rPr>
        <w:t>‑</w:t>
      </w:r>
      <w:r w:rsidRPr="00585A63">
        <w:rPr>
          <w:b w:val="0"/>
          <w:bCs w:val="0"/>
          <w:color w:val="ED0000"/>
        </w:rPr>
        <w:t>stage workflow that includes public notification, tracked</w:t>
      </w:r>
      <w:r w:rsidRPr="00585A63">
        <w:rPr>
          <w:rFonts w:ascii="Cambria Math" w:hAnsi="Cambria Math" w:cs="Cambria Math"/>
          <w:b w:val="0"/>
          <w:bCs w:val="0"/>
          <w:color w:val="ED0000"/>
        </w:rPr>
        <w:t>‑</w:t>
      </w:r>
      <w:r w:rsidRPr="00585A63">
        <w:rPr>
          <w:b w:val="0"/>
          <w:bCs w:val="0"/>
          <w:color w:val="ED0000"/>
        </w:rPr>
        <w:t xml:space="preserve">changes publication of proposed policies, CDHE cleanup work to align policies with statute, targeted stakeholder engagement (including advisory councils and institutional leadership), and a public comment process prior to </w:t>
      </w:r>
      <w:r w:rsidRPr="00585A63">
        <w:rPr>
          <w:b w:val="0"/>
          <w:bCs w:val="0"/>
          <w:color w:val="ED0000"/>
        </w:rPr>
        <w:lastRenderedPageBreak/>
        <w:t>Commission action. He emphasized that the Subcommittee’s role is to provide feedback on transparency, feasibility, and clarity as the process is developed.</w:t>
      </w:r>
    </w:p>
    <w:p w14:paraId="20A20902" w14:textId="77777777" w:rsidR="00E43C0D" w:rsidRPr="00585A63" w:rsidRDefault="00E43C0D" w:rsidP="00E43C0D">
      <w:pPr>
        <w:pStyle w:val="Informal2"/>
        <w:tabs>
          <w:tab w:val="right" w:pos="2160"/>
        </w:tabs>
        <w:ind w:left="2880"/>
        <w:rPr>
          <w:b w:val="0"/>
          <w:bCs w:val="0"/>
          <w:color w:val="ED0000"/>
        </w:rPr>
      </w:pPr>
    </w:p>
    <w:p w14:paraId="7650AA4F" w14:textId="1564A363" w:rsidR="00E43C0D" w:rsidRPr="00585A63" w:rsidRDefault="00E43C0D" w:rsidP="00E43C0D">
      <w:pPr>
        <w:pStyle w:val="Informal2"/>
        <w:tabs>
          <w:tab w:val="right" w:pos="2160"/>
        </w:tabs>
        <w:ind w:left="2880"/>
        <w:rPr>
          <w:b w:val="0"/>
          <w:bCs w:val="0"/>
          <w:color w:val="ED0000"/>
        </w:rPr>
      </w:pPr>
      <w:r w:rsidRPr="00585A63">
        <w:rPr>
          <w:b w:val="0"/>
          <w:bCs w:val="0"/>
          <w:color w:val="ED0000"/>
        </w:rPr>
        <w:t>A substantial discussion followed regarding the nature of “consensus” in the policy</w:t>
      </w:r>
      <w:r w:rsidRPr="00585A63">
        <w:rPr>
          <w:rFonts w:ascii="Cambria Math" w:hAnsi="Cambria Math" w:cs="Cambria Math"/>
          <w:b w:val="0"/>
          <w:bCs w:val="0"/>
          <w:color w:val="ED0000"/>
        </w:rPr>
        <w:t>‑</w:t>
      </w:r>
      <w:r w:rsidRPr="00585A63">
        <w:rPr>
          <w:b w:val="0"/>
          <w:bCs w:val="0"/>
          <w:color w:val="ED0000"/>
        </w:rPr>
        <w:t>making process. Commissioner Abramson requested clarification to avoid the suggestion that consensus would be required in situations where statutory mandates or audit recommendations leave no room for negotiation. Both he and Commissioner Walmer underscored that certain items</w:t>
      </w:r>
      <w:r w:rsidRPr="00585A63">
        <w:rPr>
          <w:b w:val="0"/>
          <w:bCs w:val="0"/>
          <w:color w:val="ED0000"/>
        </w:rPr>
        <w:t xml:space="preserve"> </w:t>
      </w:r>
      <w:r w:rsidRPr="00585A63">
        <w:rPr>
          <w:b w:val="0"/>
          <w:bCs w:val="0"/>
          <w:color w:val="ED0000"/>
        </w:rPr>
        <w:t>—</w:t>
      </w:r>
      <w:r w:rsidRPr="00585A63">
        <w:rPr>
          <w:b w:val="0"/>
          <w:bCs w:val="0"/>
          <w:color w:val="ED0000"/>
        </w:rPr>
        <w:t xml:space="preserve"> </w:t>
      </w:r>
      <w:r w:rsidRPr="00585A63">
        <w:rPr>
          <w:b w:val="0"/>
          <w:bCs w:val="0"/>
          <w:color w:val="ED0000"/>
        </w:rPr>
        <w:t>such as acceptance of GT Pathways courses regardless of course prefix</w:t>
      </w:r>
      <w:r w:rsidRPr="00585A63">
        <w:rPr>
          <w:b w:val="0"/>
          <w:bCs w:val="0"/>
          <w:color w:val="ED0000"/>
        </w:rPr>
        <w:t xml:space="preserve"> </w:t>
      </w:r>
      <w:r w:rsidRPr="00585A63">
        <w:rPr>
          <w:b w:val="0"/>
          <w:bCs w:val="0"/>
          <w:color w:val="ED0000"/>
        </w:rPr>
        <w:t>—</w:t>
      </w:r>
      <w:r w:rsidRPr="00585A63">
        <w:rPr>
          <w:b w:val="0"/>
          <w:bCs w:val="0"/>
          <w:color w:val="ED0000"/>
        </w:rPr>
        <w:t xml:space="preserve"> </w:t>
      </w:r>
      <w:r w:rsidRPr="00585A63">
        <w:rPr>
          <w:b w:val="0"/>
          <w:bCs w:val="0"/>
          <w:color w:val="ED0000"/>
        </w:rPr>
        <w:t>are non</w:t>
      </w:r>
      <w:r w:rsidRPr="00585A63">
        <w:rPr>
          <w:rFonts w:ascii="Cambria Math" w:hAnsi="Cambria Math" w:cs="Cambria Math"/>
          <w:b w:val="0"/>
          <w:bCs w:val="0"/>
          <w:color w:val="ED0000"/>
        </w:rPr>
        <w:t>‑</w:t>
      </w:r>
      <w:r w:rsidRPr="00585A63">
        <w:rPr>
          <w:b w:val="0"/>
          <w:bCs w:val="0"/>
          <w:color w:val="ED0000"/>
        </w:rPr>
        <w:t>negotiable audit requirements and expressions of legislative intent. Brad confirmed that while many topics invite collaborative deliberation, others will move forward irrespective of stakeholder disagreement because compliance is mandatory.</w:t>
      </w:r>
    </w:p>
    <w:p w14:paraId="6A746EF9" w14:textId="77777777" w:rsidR="005E3BB0" w:rsidRDefault="005E3BB0" w:rsidP="00B6223D">
      <w:pPr>
        <w:pStyle w:val="Informal2"/>
        <w:tabs>
          <w:tab w:val="right" w:pos="2160"/>
        </w:tabs>
        <w:rPr>
          <w:b w:val="0"/>
          <w:bCs w:val="0"/>
          <w:i/>
          <w:iCs/>
          <w:color w:val="4F81BD" w:themeColor="accent1"/>
        </w:rPr>
      </w:pPr>
    </w:p>
    <w:p w14:paraId="7978F895" w14:textId="7CC9F2CC"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95185C" w14:textId="5DA24730" w:rsidR="008D167F" w:rsidRDefault="00BD2B00" w:rsidP="00460695">
      <w:pPr>
        <w:pStyle w:val="Informal2"/>
        <w:tabs>
          <w:tab w:val="right" w:pos="2160"/>
        </w:tabs>
        <w:ind w:left="2880" w:hanging="2880"/>
      </w:pPr>
      <w:r>
        <w:t>1:20 pm</w:t>
      </w:r>
      <w:r w:rsidR="00B6223D" w:rsidRPr="002B1B26">
        <w:tab/>
      </w:r>
      <w:r w:rsidR="00460695">
        <w:tab/>
      </w:r>
      <w:bookmarkStart w:id="2" w:name="_Hlk93390637"/>
      <w:r>
        <w:t>Overview of Colorado’s Transfer Ecosystem: Statewide Transfer Articulation Agreements (STAAs) and Prior Learning Assessment (PLA)</w:t>
      </w:r>
      <w:r w:rsidR="00261D6B">
        <w:t xml:space="preserve"> </w:t>
      </w:r>
    </w:p>
    <w:p w14:paraId="35D2BF80" w14:textId="5AF9563D" w:rsidR="00FB6F51" w:rsidRDefault="00FB6F51" w:rsidP="00FB6F51">
      <w:pPr>
        <w:pStyle w:val="Informal2"/>
        <w:tabs>
          <w:tab w:val="right" w:pos="2160"/>
        </w:tabs>
        <w:rPr>
          <w:b w:val="0"/>
          <w:bCs w:val="0"/>
          <w:i/>
          <w:iCs/>
          <w:color w:val="4F6228" w:themeColor="accent3" w:themeShade="80"/>
        </w:rPr>
      </w:pPr>
      <w:r>
        <w:tab/>
      </w:r>
      <w:r>
        <w:tab/>
      </w:r>
      <w:r w:rsidR="00BA14AA">
        <w:rPr>
          <w:b w:val="0"/>
          <w:bCs w:val="0"/>
          <w:i/>
          <w:iCs/>
          <w:color w:val="4F6228" w:themeColor="accent3" w:themeShade="80"/>
        </w:rPr>
        <w:t>Christina Carrillo</w:t>
      </w:r>
      <w:r w:rsidR="00261D6B">
        <w:rPr>
          <w:b w:val="0"/>
          <w:bCs w:val="0"/>
          <w:i/>
          <w:iCs/>
          <w:color w:val="4F6228" w:themeColor="accent3" w:themeShade="80"/>
        </w:rPr>
        <w:t>, CDHE</w:t>
      </w:r>
    </w:p>
    <w:p w14:paraId="20857DE7" w14:textId="755044EF" w:rsidR="00992BAD" w:rsidRPr="00585A63" w:rsidRDefault="00D14D90" w:rsidP="00992BAD">
      <w:pPr>
        <w:pStyle w:val="Informal2"/>
        <w:tabs>
          <w:tab w:val="right" w:pos="2160"/>
        </w:tabs>
        <w:ind w:left="2880"/>
        <w:rPr>
          <w:b w:val="0"/>
          <w:bCs w:val="0"/>
          <w:color w:val="ED0000"/>
        </w:rPr>
      </w:pPr>
      <w:r w:rsidRPr="00585A63">
        <w:rPr>
          <w:b w:val="0"/>
          <w:bCs w:val="0"/>
          <w:color w:val="ED0000"/>
        </w:rPr>
        <w:t xml:space="preserve">Brad continued the detailed overview and discussion of the statewide transfer frameworks, beginning with GT Pathways. He invited questions based on the prior meeting’s presentation. </w:t>
      </w:r>
      <w:r w:rsidR="00992BAD" w:rsidRPr="00585A63">
        <w:rPr>
          <w:b w:val="0"/>
          <w:bCs w:val="0"/>
          <w:color w:val="ED0000"/>
        </w:rPr>
        <w:t xml:space="preserve">Concerns were raised </w:t>
      </w:r>
      <w:r w:rsidR="00992BAD" w:rsidRPr="00585A63">
        <w:rPr>
          <w:b w:val="0"/>
          <w:bCs w:val="0"/>
          <w:color w:val="ED0000"/>
        </w:rPr>
        <w:t xml:space="preserve">about how narrow prescribed course lists limit student awareness of viable course options, such as ethics in the criminal justice pathway. </w:t>
      </w:r>
      <w:r w:rsidR="00992BAD" w:rsidRPr="00585A63">
        <w:rPr>
          <w:b w:val="0"/>
          <w:bCs w:val="0"/>
          <w:color w:val="ED0000"/>
        </w:rPr>
        <w:t>One committee member</w:t>
      </w:r>
      <w:r w:rsidR="00992BAD" w:rsidRPr="00585A63">
        <w:rPr>
          <w:b w:val="0"/>
          <w:bCs w:val="0"/>
          <w:color w:val="ED0000"/>
        </w:rPr>
        <w:t xml:space="preserve"> clarified that such narrowing is often the result of internal institutional practices</w:t>
      </w:r>
      <w:r w:rsidR="004174C1" w:rsidRPr="00585A63">
        <w:rPr>
          <w:b w:val="0"/>
          <w:bCs w:val="0"/>
          <w:color w:val="ED0000"/>
        </w:rPr>
        <w:t xml:space="preserve"> </w:t>
      </w:r>
      <w:r w:rsidR="00992BAD" w:rsidRPr="00585A63">
        <w:rPr>
          <w:b w:val="0"/>
          <w:bCs w:val="0"/>
          <w:color w:val="ED0000"/>
        </w:rPr>
        <w:t>—</w:t>
      </w:r>
      <w:r w:rsidR="004174C1" w:rsidRPr="00585A63">
        <w:rPr>
          <w:b w:val="0"/>
          <w:bCs w:val="0"/>
          <w:color w:val="ED0000"/>
        </w:rPr>
        <w:t xml:space="preserve"> </w:t>
      </w:r>
      <w:r w:rsidR="00992BAD" w:rsidRPr="00585A63">
        <w:rPr>
          <w:b w:val="0"/>
          <w:bCs w:val="0"/>
          <w:color w:val="ED0000"/>
        </w:rPr>
        <w:t>such as CCCS’s guided pathways implementation</w:t>
      </w:r>
      <w:r w:rsidR="004174C1" w:rsidRPr="00585A63">
        <w:rPr>
          <w:b w:val="0"/>
          <w:bCs w:val="0"/>
          <w:color w:val="ED0000"/>
        </w:rPr>
        <w:t xml:space="preserve"> </w:t>
      </w:r>
      <w:r w:rsidR="00992BAD" w:rsidRPr="00585A63">
        <w:rPr>
          <w:b w:val="0"/>
          <w:bCs w:val="0"/>
          <w:color w:val="ED0000"/>
        </w:rPr>
        <w:t>—</w:t>
      </w:r>
      <w:r w:rsidR="004174C1" w:rsidRPr="00585A63">
        <w:rPr>
          <w:b w:val="0"/>
          <w:bCs w:val="0"/>
          <w:color w:val="ED0000"/>
        </w:rPr>
        <w:t xml:space="preserve"> </w:t>
      </w:r>
      <w:r w:rsidR="00992BAD" w:rsidRPr="00585A63">
        <w:rPr>
          <w:b w:val="0"/>
          <w:bCs w:val="0"/>
          <w:color w:val="ED0000"/>
        </w:rPr>
        <w:t>not GT Pathways policy itself. Participants discussed distinctions between g</w:t>
      </w:r>
      <w:r w:rsidR="004174C1" w:rsidRPr="00585A63">
        <w:rPr>
          <w:b w:val="0"/>
          <w:bCs w:val="0"/>
          <w:color w:val="ED0000"/>
        </w:rPr>
        <w:t>eneral education</w:t>
      </w:r>
      <w:r w:rsidR="00992BAD" w:rsidRPr="00585A63">
        <w:rPr>
          <w:b w:val="0"/>
          <w:bCs w:val="0"/>
          <w:color w:val="ED0000"/>
        </w:rPr>
        <w:t xml:space="preserve"> transferability, advising practices, and internal program</w:t>
      </w:r>
      <w:r w:rsidR="00992BAD" w:rsidRPr="00585A63">
        <w:rPr>
          <w:rFonts w:ascii="Cambria Math" w:hAnsi="Cambria Math" w:cs="Cambria Math"/>
          <w:b w:val="0"/>
          <w:bCs w:val="0"/>
          <w:color w:val="ED0000"/>
        </w:rPr>
        <w:t>‑</w:t>
      </w:r>
      <w:r w:rsidR="00992BAD" w:rsidRPr="00585A63">
        <w:rPr>
          <w:b w:val="0"/>
          <w:bCs w:val="0"/>
          <w:color w:val="ED0000"/>
        </w:rPr>
        <w:t>mapping decisions across institutions.</w:t>
      </w:r>
    </w:p>
    <w:p w14:paraId="1E3DBB83" w14:textId="77777777" w:rsidR="00992BAD" w:rsidRPr="00585A63" w:rsidRDefault="00992BAD" w:rsidP="00992BAD">
      <w:pPr>
        <w:pStyle w:val="Informal2"/>
        <w:tabs>
          <w:tab w:val="right" w:pos="2160"/>
        </w:tabs>
        <w:ind w:left="2880"/>
        <w:rPr>
          <w:b w:val="0"/>
          <w:bCs w:val="0"/>
          <w:color w:val="ED0000"/>
        </w:rPr>
      </w:pPr>
    </w:p>
    <w:p w14:paraId="3C3BCE7A" w14:textId="35CB7C5D" w:rsidR="00992BAD" w:rsidRPr="00585A63" w:rsidRDefault="004174C1" w:rsidP="00992BAD">
      <w:pPr>
        <w:pStyle w:val="Informal2"/>
        <w:tabs>
          <w:tab w:val="right" w:pos="2160"/>
        </w:tabs>
        <w:ind w:left="2880"/>
        <w:rPr>
          <w:b w:val="0"/>
          <w:bCs w:val="0"/>
          <w:color w:val="ED0000"/>
        </w:rPr>
      </w:pPr>
      <w:r w:rsidRPr="00585A63">
        <w:rPr>
          <w:b w:val="0"/>
          <w:bCs w:val="0"/>
          <w:color w:val="ED0000"/>
        </w:rPr>
        <w:t>A question was</w:t>
      </w:r>
      <w:r w:rsidR="00992BAD" w:rsidRPr="00585A63">
        <w:rPr>
          <w:b w:val="0"/>
          <w:bCs w:val="0"/>
          <w:color w:val="ED0000"/>
        </w:rPr>
        <w:t xml:space="preserve"> asked whether the group’s scope extends beyond GT Pathways and statewide articulation agreements</w:t>
      </w:r>
      <w:r w:rsidRPr="00585A63">
        <w:rPr>
          <w:b w:val="0"/>
          <w:bCs w:val="0"/>
          <w:color w:val="ED0000"/>
        </w:rPr>
        <w:t xml:space="preserve"> </w:t>
      </w:r>
      <w:r w:rsidR="00992BAD" w:rsidRPr="00585A63">
        <w:rPr>
          <w:b w:val="0"/>
          <w:bCs w:val="0"/>
          <w:color w:val="ED0000"/>
        </w:rPr>
        <w:t>—</w:t>
      </w:r>
      <w:r w:rsidRPr="00585A63">
        <w:rPr>
          <w:b w:val="0"/>
          <w:bCs w:val="0"/>
          <w:color w:val="ED0000"/>
        </w:rPr>
        <w:t xml:space="preserve"> </w:t>
      </w:r>
      <w:r w:rsidR="00992BAD" w:rsidRPr="00585A63">
        <w:rPr>
          <w:b w:val="0"/>
          <w:bCs w:val="0"/>
          <w:color w:val="ED0000"/>
        </w:rPr>
        <w:t xml:space="preserve">particularly into applied science pathways, registered apprenticeships, and </w:t>
      </w:r>
      <w:r w:rsidR="002003E2" w:rsidRPr="00585A63">
        <w:rPr>
          <w:b w:val="0"/>
          <w:bCs w:val="0"/>
          <w:color w:val="ED0000"/>
        </w:rPr>
        <w:lastRenderedPageBreak/>
        <w:t>Career Technical Education (</w:t>
      </w:r>
      <w:r w:rsidR="00992BAD" w:rsidRPr="00585A63">
        <w:rPr>
          <w:b w:val="0"/>
          <w:bCs w:val="0"/>
          <w:color w:val="ED0000"/>
        </w:rPr>
        <w:t>CTE</w:t>
      </w:r>
      <w:r w:rsidR="002003E2" w:rsidRPr="00585A63">
        <w:rPr>
          <w:b w:val="0"/>
          <w:bCs w:val="0"/>
          <w:color w:val="ED0000"/>
        </w:rPr>
        <w:t>)</w:t>
      </w:r>
      <w:r w:rsidR="00992BAD" w:rsidRPr="00585A63">
        <w:rPr>
          <w:rFonts w:ascii="Cambria Math" w:hAnsi="Cambria Math" w:cs="Cambria Math"/>
          <w:b w:val="0"/>
          <w:bCs w:val="0"/>
          <w:color w:val="ED0000"/>
        </w:rPr>
        <w:t>‑</w:t>
      </w:r>
      <w:r w:rsidR="00992BAD" w:rsidRPr="00585A63">
        <w:rPr>
          <w:b w:val="0"/>
          <w:bCs w:val="0"/>
          <w:color w:val="ED0000"/>
        </w:rPr>
        <w:t>to</w:t>
      </w:r>
      <w:r w:rsidR="00992BAD" w:rsidRPr="00585A63">
        <w:rPr>
          <w:rFonts w:ascii="Cambria Math" w:hAnsi="Cambria Math" w:cs="Cambria Math"/>
          <w:b w:val="0"/>
          <w:bCs w:val="0"/>
          <w:color w:val="ED0000"/>
        </w:rPr>
        <w:t>‑</w:t>
      </w:r>
      <w:r w:rsidR="00992BAD" w:rsidRPr="00585A63">
        <w:rPr>
          <w:b w:val="0"/>
          <w:bCs w:val="0"/>
          <w:color w:val="ED0000"/>
        </w:rPr>
        <w:t>degree opportunities. Commissioner Abramson confirmed that while the group must first address audit</w:t>
      </w:r>
      <w:r w:rsidR="00992BAD" w:rsidRPr="00585A63">
        <w:rPr>
          <w:rFonts w:ascii="Cambria Math" w:hAnsi="Cambria Math" w:cs="Cambria Math"/>
          <w:b w:val="0"/>
          <w:bCs w:val="0"/>
          <w:color w:val="ED0000"/>
        </w:rPr>
        <w:t>‑</w:t>
      </w:r>
      <w:r w:rsidR="00992BAD" w:rsidRPr="00585A63">
        <w:rPr>
          <w:b w:val="0"/>
          <w:bCs w:val="0"/>
          <w:color w:val="ED0000"/>
        </w:rPr>
        <w:t>driven priorities, the first half of 2026 will include broader discussions about applied science and other complex transfer pathways.</w:t>
      </w:r>
    </w:p>
    <w:p w14:paraId="1B8B13FA" w14:textId="77777777" w:rsidR="00992BAD" w:rsidRPr="00585A63" w:rsidRDefault="00992BAD" w:rsidP="00992BAD">
      <w:pPr>
        <w:pStyle w:val="Informal2"/>
        <w:tabs>
          <w:tab w:val="right" w:pos="2160"/>
        </w:tabs>
        <w:ind w:left="2880"/>
        <w:rPr>
          <w:b w:val="0"/>
          <w:bCs w:val="0"/>
          <w:color w:val="ED0000"/>
        </w:rPr>
      </w:pPr>
    </w:p>
    <w:p w14:paraId="5D6CE3B4" w14:textId="7C96DE07" w:rsidR="00992BAD" w:rsidRPr="00585A63" w:rsidRDefault="00992BAD" w:rsidP="00992BAD">
      <w:pPr>
        <w:pStyle w:val="Informal2"/>
        <w:tabs>
          <w:tab w:val="right" w:pos="2160"/>
        </w:tabs>
        <w:ind w:left="2880"/>
        <w:rPr>
          <w:b w:val="0"/>
          <w:bCs w:val="0"/>
          <w:color w:val="ED0000"/>
        </w:rPr>
      </w:pPr>
      <w:r w:rsidRPr="00585A63">
        <w:rPr>
          <w:b w:val="0"/>
          <w:bCs w:val="0"/>
          <w:color w:val="ED0000"/>
        </w:rPr>
        <w:t>Brad resumed the presentation with an overview of Statewide Transfer Articulation Agreements (STAAs)</w:t>
      </w:r>
      <w:r w:rsidR="002003E2" w:rsidRPr="00585A63">
        <w:rPr>
          <w:b w:val="0"/>
          <w:bCs w:val="0"/>
          <w:color w:val="ED0000"/>
        </w:rPr>
        <w:t xml:space="preserve"> </w:t>
      </w:r>
      <w:r w:rsidRPr="00585A63">
        <w:rPr>
          <w:b w:val="0"/>
          <w:bCs w:val="0"/>
          <w:color w:val="ED0000"/>
        </w:rPr>
        <w:t>—</w:t>
      </w:r>
      <w:r w:rsidR="002003E2" w:rsidRPr="00585A63">
        <w:rPr>
          <w:b w:val="0"/>
          <w:bCs w:val="0"/>
          <w:color w:val="ED0000"/>
        </w:rPr>
        <w:t xml:space="preserve"> </w:t>
      </w:r>
      <w:r w:rsidRPr="00585A63">
        <w:rPr>
          <w:b w:val="0"/>
          <w:bCs w:val="0"/>
          <w:color w:val="ED0000"/>
        </w:rPr>
        <w:t>the 60</w:t>
      </w:r>
      <w:r w:rsidRPr="00585A63">
        <w:rPr>
          <w:rFonts w:ascii="Cambria Math" w:hAnsi="Cambria Math" w:cs="Cambria Math"/>
          <w:b w:val="0"/>
          <w:bCs w:val="0"/>
          <w:color w:val="ED0000"/>
        </w:rPr>
        <w:t>‑</w:t>
      </w:r>
      <w:r w:rsidRPr="00585A63">
        <w:rPr>
          <w:b w:val="0"/>
          <w:bCs w:val="0"/>
          <w:color w:val="ED0000"/>
        </w:rPr>
        <w:t xml:space="preserve">credit 2+2 pathways for </w:t>
      </w:r>
      <w:r w:rsidR="002003E2" w:rsidRPr="00585A63">
        <w:rPr>
          <w:b w:val="0"/>
          <w:bCs w:val="0"/>
          <w:color w:val="ED0000"/>
        </w:rPr>
        <w:t>AA/AS</w:t>
      </w:r>
      <w:r w:rsidRPr="00585A63">
        <w:rPr>
          <w:b w:val="0"/>
          <w:bCs w:val="0"/>
          <w:color w:val="ED0000"/>
        </w:rPr>
        <w:t xml:space="preserve"> degrees. He reviewed their statutory basis, development structure, and the critical role of the General Education Council and discipline</w:t>
      </w:r>
      <w:r w:rsidRPr="00585A63">
        <w:rPr>
          <w:rFonts w:ascii="Cambria Math" w:hAnsi="Cambria Math" w:cs="Cambria Math"/>
          <w:b w:val="0"/>
          <w:bCs w:val="0"/>
          <w:color w:val="ED0000"/>
        </w:rPr>
        <w:t>‑</w:t>
      </w:r>
      <w:r w:rsidRPr="00585A63">
        <w:rPr>
          <w:b w:val="0"/>
          <w:bCs w:val="0"/>
          <w:color w:val="ED0000"/>
        </w:rPr>
        <w:t>based faculty</w:t>
      </w:r>
      <w:r w:rsidRPr="00585A63">
        <w:rPr>
          <w:rFonts w:ascii="Cambria Math" w:hAnsi="Cambria Math" w:cs="Cambria Math"/>
          <w:b w:val="0"/>
          <w:bCs w:val="0"/>
          <w:color w:val="ED0000"/>
        </w:rPr>
        <w:t>‑</w:t>
      </w:r>
      <w:r w:rsidRPr="00585A63">
        <w:rPr>
          <w:b w:val="0"/>
          <w:bCs w:val="0"/>
          <w:color w:val="ED0000"/>
        </w:rPr>
        <w:t>to</w:t>
      </w:r>
      <w:r w:rsidRPr="00585A63">
        <w:rPr>
          <w:rFonts w:ascii="Cambria Math" w:hAnsi="Cambria Math" w:cs="Cambria Math"/>
          <w:b w:val="0"/>
          <w:bCs w:val="0"/>
          <w:color w:val="ED0000"/>
        </w:rPr>
        <w:t>‑</w:t>
      </w:r>
      <w:r w:rsidRPr="00585A63">
        <w:rPr>
          <w:b w:val="0"/>
          <w:bCs w:val="0"/>
          <w:color w:val="ED0000"/>
        </w:rPr>
        <w:t>faculty conferences. The group discussed barriers to developing STAAs in highly specialized or tightly sequenced fields such as engineering and nursing, acknowledging long</w:t>
      </w:r>
      <w:r w:rsidRPr="00585A63">
        <w:rPr>
          <w:rFonts w:ascii="Cambria Math" w:hAnsi="Cambria Math" w:cs="Cambria Math"/>
          <w:b w:val="0"/>
          <w:bCs w:val="0"/>
          <w:color w:val="ED0000"/>
        </w:rPr>
        <w:t>‑</w:t>
      </w:r>
      <w:r w:rsidRPr="00585A63">
        <w:rPr>
          <w:b w:val="0"/>
          <w:bCs w:val="0"/>
          <w:color w:val="ED0000"/>
        </w:rPr>
        <w:t>standing challenges that have prevented formal agreements in those disciplines. Brad also highlighted notable positive outcomes of STAAs, including higher transfer rates, improved bachelor’s completion, and reduced credit accumulation among students earning degrees with designation</w:t>
      </w:r>
      <w:r w:rsidR="002003E2" w:rsidRPr="00585A63">
        <w:rPr>
          <w:b w:val="0"/>
          <w:bCs w:val="0"/>
          <w:color w:val="ED0000"/>
        </w:rPr>
        <w:t xml:space="preserve"> (</w:t>
      </w:r>
      <w:proofErr w:type="spellStart"/>
      <w:r w:rsidR="002003E2" w:rsidRPr="00585A63">
        <w:rPr>
          <w:b w:val="0"/>
          <w:bCs w:val="0"/>
          <w:color w:val="ED0000"/>
        </w:rPr>
        <w:t>DwDs</w:t>
      </w:r>
      <w:proofErr w:type="spellEnd"/>
      <w:r w:rsidR="002003E2" w:rsidRPr="00585A63">
        <w:rPr>
          <w:b w:val="0"/>
          <w:bCs w:val="0"/>
          <w:color w:val="ED0000"/>
        </w:rPr>
        <w:t>)</w:t>
      </w:r>
      <w:r w:rsidRPr="00585A63">
        <w:rPr>
          <w:b w:val="0"/>
          <w:bCs w:val="0"/>
          <w:color w:val="ED0000"/>
        </w:rPr>
        <w:t>.</w:t>
      </w:r>
    </w:p>
    <w:p w14:paraId="50C552FC" w14:textId="77777777" w:rsidR="00992BAD" w:rsidRPr="00585A63" w:rsidRDefault="00992BAD" w:rsidP="00992BAD">
      <w:pPr>
        <w:pStyle w:val="Informal2"/>
        <w:tabs>
          <w:tab w:val="right" w:pos="2160"/>
        </w:tabs>
        <w:ind w:left="2880"/>
        <w:rPr>
          <w:b w:val="0"/>
          <w:bCs w:val="0"/>
          <w:color w:val="ED0000"/>
        </w:rPr>
      </w:pPr>
    </w:p>
    <w:p w14:paraId="356851E0" w14:textId="15CF6794" w:rsidR="00992BAD" w:rsidRPr="00585A63" w:rsidRDefault="00992BAD" w:rsidP="00992BAD">
      <w:pPr>
        <w:pStyle w:val="Informal2"/>
        <w:tabs>
          <w:tab w:val="right" w:pos="2160"/>
        </w:tabs>
        <w:ind w:left="2880"/>
        <w:rPr>
          <w:b w:val="0"/>
          <w:bCs w:val="0"/>
          <w:color w:val="ED0000"/>
        </w:rPr>
      </w:pPr>
      <w:r w:rsidRPr="00585A63">
        <w:rPr>
          <w:b w:val="0"/>
          <w:bCs w:val="0"/>
          <w:color w:val="ED0000"/>
        </w:rPr>
        <w:t>The committee then examined prior learning assessment (PLA) processes. Brad walked through state</w:t>
      </w:r>
      <w:r w:rsidRPr="00585A63">
        <w:rPr>
          <w:rFonts w:ascii="Cambria Math" w:hAnsi="Cambria Math" w:cs="Cambria Math"/>
          <w:b w:val="0"/>
          <w:bCs w:val="0"/>
          <w:color w:val="ED0000"/>
        </w:rPr>
        <w:t>‑</w:t>
      </w:r>
      <w:r w:rsidRPr="00585A63">
        <w:rPr>
          <w:b w:val="0"/>
          <w:bCs w:val="0"/>
          <w:color w:val="ED0000"/>
        </w:rPr>
        <w:t>level mechanisms for evaluating AP, IB, CLEP, military credit, CTE certificates, and other experiential learning. Participants discussed significant inconsistencies in documentation requirements across institutions, particularly for AP/IB scores and for certain state</w:t>
      </w:r>
      <w:r w:rsidRPr="00585A63">
        <w:rPr>
          <w:rFonts w:ascii="Cambria Math" w:hAnsi="Cambria Math" w:cs="Cambria Math"/>
          <w:b w:val="0"/>
          <w:bCs w:val="0"/>
          <w:color w:val="ED0000"/>
        </w:rPr>
        <w:t>‑</w:t>
      </w:r>
      <w:r w:rsidRPr="00585A63">
        <w:rPr>
          <w:b w:val="0"/>
          <w:bCs w:val="0"/>
          <w:color w:val="ED0000"/>
        </w:rPr>
        <w:t>issued early childhood credentials. Institutions described operational and accreditation</w:t>
      </w:r>
      <w:r w:rsidRPr="00585A63">
        <w:rPr>
          <w:rFonts w:ascii="Cambria Math" w:hAnsi="Cambria Math" w:cs="Cambria Math"/>
          <w:b w:val="0"/>
          <w:bCs w:val="0"/>
          <w:color w:val="ED0000"/>
        </w:rPr>
        <w:t>‑</w:t>
      </w:r>
      <w:r w:rsidRPr="00585A63">
        <w:rPr>
          <w:b w:val="0"/>
          <w:bCs w:val="0"/>
          <w:color w:val="ED0000"/>
        </w:rPr>
        <w:t>aligned reasons for requiring original documentation, while others raised concerns about student burden and duplicative evaluation processes. Members agreed the issue is complex and warrants deeper future discussion; CDHE staff noted that survey work with registrars and exploration of potential transcript enhancements or data</w:t>
      </w:r>
      <w:r w:rsidRPr="00585A63">
        <w:rPr>
          <w:rFonts w:ascii="Cambria Math" w:hAnsi="Cambria Math" w:cs="Cambria Math"/>
          <w:b w:val="0"/>
          <w:bCs w:val="0"/>
          <w:color w:val="ED0000"/>
        </w:rPr>
        <w:t>‑</w:t>
      </w:r>
      <w:r w:rsidRPr="00585A63">
        <w:rPr>
          <w:b w:val="0"/>
          <w:bCs w:val="0"/>
          <w:color w:val="ED0000"/>
        </w:rPr>
        <w:t>sharing agreements (for example, with College Board) could be part of the policy</w:t>
      </w:r>
      <w:r w:rsidRPr="00585A63">
        <w:rPr>
          <w:rFonts w:ascii="Cambria Math" w:hAnsi="Cambria Math" w:cs="Cambria Math"/>
          <w:b w:val="0"/>
          <w:bCs w:val="0"/>
          <w:color w:val="ED0000"/>
        </w:rPr>
        <w:t>‑</w:t>
      </w:r>
      <w:r w:rsidRPr="00585A63">
        <w:rPr>
          <w:b w:val="0"/>
          <w:bCs w:val="0"/>
          <w:color w:val="ED0000"/>
        </w:rPr>
        <w:t>revision effort.</w:t>
      </w:r>
    </w:p>
    <w:p w14:paraId="470A69B7" w14:textId="77777777" w:rsidR="00992BAD" w:rsidRPr="00585A63" w:rsidRDefault="00992BAD" w:rsidP="00992BAD">
      <w:pPr>
        <w:pStyle w:val="Informal2"/>
        <w:tabs>
          <w:tab w:val="right" w:pos="2160"/>
        </w:tabs>
        <w:ind w:left="2880"/>
        <w:rPr>
          <w:b w:val="0"/>
          <w:bCs w:val="0"/>
          <w:color w:val="ED0000"/>
        </w:rPr>
      </w:pPr>
    </w:p>
    <w:p w14:paraId="6860312C" w14:textId="3D0D6C8E" w:rsidR="00D14D90" w:rsidRPr="00585A63" w:rsidRDefault="00992BAD" w:rsidP="00992BAD">
      <w:pPr>
        <w:pStyle w:val="Informal2"/>
        <w:tabs>
          <w:tab w:val="right" w:pos="2160"/>
        </w:tabs>
        <w:ind w:left="2880"/>
        <w:rPr>
          <w:b w:val="0"/>
          <w:bCs w:val="0"/>
          <w:color w:val="ED0000"/>
        </w:rPr>
      </w:pPr>
      <w:r w:rsidRPr="00585A63">
        <w:rPr>
          <w:b w:val="0"/>
          <w:bCs w:val="0"/>
          <w:color w:val="ED0000"/>
        </w:rPr>
        <w:lastRenderedPageBreak/>
        <w:t>Given the depth of discussion, Brad concluded the PLA segment by noting that additional conversation would be required in upcoming meetings.</w:t>
      </w:r>
    </w:p>
    <w:p w14:paraId="4A352E37" w14:textId="77777777" w:rsidR="008B4D84" w:rsidRPr="001B7387" w:rsidRDefault="008B4D84" w:rsidP="001B7387">
      <w:pPr>
        <w:rPr>
          <w:rFonts w:ascii="Arial" w:hAnsi="Arial" w:cs="Arial"/>
          <w:i/>
          <w:iCs/>
          <w:color w:val="4F6228" w:themeColor="accent3" w:themeShade="80"/>
          <w:sz w:val="24"/>
          <w:szCs w:val="24"/>
        </w:rPr>
      </w:pPr>
    </w:p>
    <w:bookmarkEnd w:id="2"/>
    <w:p w14:paraId="794A95E2" w14:textId="21F1FD73" w:rsidR="00A63A16" w:rsidRPr="002B1B26" w:rsidRDefault="00B6223D" w:rsidP="00B6223D">
      <w:pPr>
        <w:pStyle w:val="Informal2"/>
        <w:tabs>
          <w:tab w:val="right" w:pos="2160"/>
        </w:tabs>
      </w:pPr>
      <w:r w:rsidRPr="002B1B26">
        <w:tab/>
      </w:r>
      <w:r w:rsidRPr="002B1B26">
        <w:tab/>
      </w:r>
      <w:r w:rsidR="00BB6417" w:rsidRPr="002B1B26">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2D08"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5E994A6" w14:textId="031964BC" w:rsidR="0081014D" w:rsidRPr="00C241AA" w:rsidRDefault="00BD2B00" w:rsidP="00011447">
      <w:pPr>
        <w:pStyle w:val="Informal2"/>
        <w:tabs>
          <w:tab w:val="right" w:pos="2160"/>
        </w:tabs>
        <w:ind w:left="2880" w:hanging="2880"/>
      </w:pPr>
      <w:r>
        <w:t>1:50 pm</w:t>
      </w:r>
      <w:r w:rsidR="00B6223D" w:rsidRPr="002B1B26">
        <w:tab/>
      </w:r>
      <w:r w:rsidR="00011447">
        <w:tab/>
        <w:t>Overview of Colorado Transfer and Ongoing Efforts to Improve Transfer Transparency</w:t>
      </w:r>
      <w:r w:rsidR="00460695">
        <w:t xml:space="preserve"> </w:t>
      </w:r>
      <w:r w:rsidR="00261D6B">
        <w:t xml:space="preserve"> </w:t>
      </w:r>
    </w:p>
    <w:p w14:paraId="4C977448" w14:textId="51FA9304" w:rsidR="0072761C" w:rsidRDefault="00261D6B" w:rsidP="00FB6F5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Brad Griffith, CDHE</w:t>
      </w:r>
    </w:p>
    <w:p w14:paraId="6B32B422" w14:textId="3F14E082" w:rsidR="00585A63" w:rsidRPr="00585A63" w:rsidRDefault="00585A63" w:rsidP="00585A63">
      <w:pPr>
        <w:ind w:left="2880"/>
        <w:rPr>
          <w:rFonts w:ascii="Arial" w:hAnsi="Arial" w:cs="Arial"/>
          <w:color w:val="ED0000"/>
          <w:sz w:val="24"/>
          <w:szCs w:val="24"/>
        </w:rPr>
      </w:pPr>
      <w:r w:rsidRPr="00585A63">
        <w:rPr>
          <w:rFonts w:ascii="Arial" w:hAnsi="Arial" w:cs="Arial"/>
          <w:color w:val="ED0000"/>
          <w:sz w:val="24"/>
          <w:szCs w:val="24"/>
        </w:rPr>
        <w:t xml:space="preserve">Brad provided an overview of Colorado Transfer, </w:t>
      </w:r>
      <w:r w:rsidRPr="00585A63">
        <w:rPr>
          <w:rFonts w:ascii="Arial" w:hAnsi="Arial" w:cs="Arial"/>
          <w:color w:val="ED0000"/>
          <w:sz w:val="24"/>
          <w:szCs w:val="24"/>
        </w:rPr>
        <w:t>the new statewide transfer website funded by HB25</w:t>
      </w:r>
      <w:r w:rsidRPr="00585A63">
        <w:rPr>
          <w:rFonts w:ascii="Cambria Math" w:hAnsi="Cambria Math" w:cs="Cambria Math"/>
          <w:color w:val="ED0000"/>
          <w:sz w:val="24"/>
          <w:szCs w:val="24"/>
        </w:rPr>
        <w:t>‑</w:t>
      </w:r>
      <w:r w:rsidRPr="00585A63">
        <w:rPr>
          <w:rFonts w:ascii="Arial" w:hAnsi="Arial" w:cs="Arial"/>
          <w:color w:val="ED0000"/>
          <w:sz w:val="24"/>
          <w:szCs w:val="24"/>
        </w:rPr>
        <w:t>1038. He described its current features</w:t>
      </w:r>
      <w:r w:rsidRPr="00585A63">
        <w:rPr>
          <w:rFonts w:ascii="Arial" w:hAnsi="Arial" w:cs="Arial"/>
          <w:color w:val="ED0000"/>
          <w:sz w:val="24"/>
          <w:szCs w:val="24"/>
        </w:rPr>
        <w:t xml:space="preserve"> </w:t>
      </w:r>
      <w:r w:rsidRPr="00585A63">
        <w:rPr>
          <w:rFonts w:ascii="Arial" w:hAnsi="Arial" w:cs="Arial"/>
          <w:color w:val="ED0000"/>
          <w:sz w:val="24"/>
          <w:szCs w:val="24"/>
        </w:rPr>
        <w:t>—</w:t>
      </w:r>
      <w:r w:rsidRPr="00585A63">
        <w:rPr>
          <w:rFonts w:ascii="Arial" w:hAnsi="Arial" w:cs="Arial"/>
          <w:color w:val="ED0000"/>
          <w:sz w:val="24"/>
          <w:szCs w:val="24"/>
        </w:rPr>
        <w:t xml:space="preserve"> </w:t>
      </w:r>
      <w:r w:rsidRPr="00585A63">
        <w:rPr>
          <w:rFonts w:ascii="Arial" w:hAnsi="Arial" w:cs="Arial"/>
          <w:color w:val="ED0000"/>
          <w:sz w:val="24"/>
          <w:szCs w:val="24"/>
        </w:rPr>
        <w:t>GT Pathways lists, STAA links, reverse transfer resources, and a statewide transfer</w:t>
      </w:r>
      <w:r w:rsidRPr="00585A63">
        <w:rPr>
          <w:rFonts w:ascii="Cambria Math" w:hAnsi="Cambria Math" w:cs="Cambria Math"/>
          <w:color w:val="ED0000"/>
          <w:sz w:val="24"/>
          <w:szCs w:val="24"/>
        </w:rPr>
        <w:t>‑</w:t>
      </w:r>
      <w:r w:rsidRPr="00585A63">
        <w:rPr>
          <w:rFonts w:ascii="Arial" w:hAnsi="Arial" w:cs="Arial"/>
          <w:color w:val="ED0000"/>
          <w:sz w:val="24"/>
          <w:szCs w:val="24"/>
        </w:rPr>
        <w:t>directory</w:t>
      </w:r>
      <w:r w:rsidRPr="00585A63">
        <w:rPr>
          <w:rFonts w:ascii="Arial" w:hAnsi="Arial" w:cs="Arial"/>
          <w:color w:val="ED0000"/>
          <w:sz w:val="24"/>
          <w:szCs w:val="24"/>
        </w:rPr>
        <w:t xml:space="preserve"> </w:t>
      </w:r>
      <w:r w:rsidRPr="00585A63">
        <w:rPr>
          <w:rFonts w:ascii="Arial" w:hAnsi="Arial" w:cs="Arial"/>
          <w:color w:val="ED0000"/>
          <w:sz w:val="24"/>
          <w:szCs w:val="24"/>
        </w:rPr>
        <w:t>—</w:t>
      </w:r>
      <w:r w:rsidRPr="00585A63">
        <w:rPr>
          <w:rFonts w:ascii="Arial" w:hAnsi="Arial" w:cs="Arial"/>
          <w:color w:val="ED0000"/>
          <w:sz w:val="24"/>
          <w:szCs w:val="24"/>
        </w:rPr>
        <w:t xml:space="preserve"> </w:t>
      </w:r>
      <w:r w:rsidRPr="00585A63">
        <w:rPr>
          <w:rFonts w:ascii="Arial" w:hAnsi="Arial" w:cs="Arial"/>
          <w:color w:val="ED0000"/>
          <w:sz w:val="24"/>
          <w:szCs w:val="24"/>
        </w:rPr>
        <w:t>and its limitations, including the absence of course</w:t>
      </w:r>
      <w:r w:rsidRPr="00585A63">
        <w:rPr>
          <w:rFonts w:ascii="Cambria Math" w:hAnsi="Cambria Math" w:cs="Cambria Math"/>
          <w:color w:val="ED0000"/>
          <w:sz w:val="24"/>
          <w:szCs w:val="24"/>
        </w:rPr>
        <w:t>‑</w:t>
      </w:r>
      <w:r w:rsidRPr="00585A63">
        <w:rPr>
          <w:rFonts w:ascii="Arial" w:hAnsi="Arial" w:cs="Arial"/>
          <w:color w:val="ED0000"/>
          <w:sz w:val="24"/>
          <w:szCs w:val="24"/>
        </w:rPr>
        <w:t>by</w:t>
      </w:r>
      <w:r w:rsidRPr="00585A63">
        <w:rPr>
          <w:rFonts w:ascii="Cambria Math" w:hAnsi="Cambria Math" w:cs="Cambria Math"/>
          <w:color w:val="ED0000"/>
          <w:sz w:val="24"/>
          <w:szCs w:val="24"/>
        </w:rPr>
        <w:t>‑</w:t>
      </w:r>
      <w:r w:rsidRPr="00585A63">
        <w:rPr>
          <w:rFonts w:ascii="Arial" w:hAnsi="Arial" w:cs="Arial"/>
          <w:color w:val="ED0000"/>
          <w:sz w:val="24"/>
          <w:szCs w:val="24"/>
        </w:rPr>
        <w:t xml:space="preserve">course equivalency data. CDHE’s aspirational Phase 2 would integrate institutional equivalency databases (e.g., through </w:t>
      </w:r>
      <w:proofErr w:type="spellStart"/>
      <w:r w:rsidRPr="00585A63">
        <w:rPr>
          <w:rFonts w:ascii="Arial" w:hAnsi="Arial" w:cs="Arial"/>
          <w:color w:val="ED0000"/>
          <w:sz w:val="24"/>
          <w:szCs w:val="24"/>
        </w:rPr>
        <w:t>CollegeSource</w:t>
      </w:r>
      <w:proofErr w:type="spellEnd"/>
      <w:r w:rsidRPr="00585A63">
        <w:rPr>
          <w:rFonts w:ascii="Arial" w:hAnsi="Arial" w:cs="Arial"/>
          <w:color w:val="ED0000"/>
          <w:sz w:val="24"/>
          <w:szCs w:val="24"/>
        </w:rPr>
        <w:t>), but the estimated cost exceeds $1 million. As a lower</w:t>
      </w:r>
      <w:r w:rsidRPr="00585A63">
        <w:rPr>
          <w:rFonts w:ascii="Cambria Math" w:hAnsi="Cambria Math" w:cs="Cambria Math"/>
          <w:color w:val="ED0000"/>
          <w:sz w:val="24"/>
          <w:szCs w:val="24"/>
        </w:rPr>
        <w:t>‑</w:t>
      </w:r>
      <w:r w:rsidRPr="00585A63">
        <w:rPr>
          <w:rFonts w:ascii="Arial" w:hAnsi="Arial" w:cs="Arial"/>
          <w:color w:val="ED0000"/>
          <w:sz w:val="24"/>
          <w:szCs w:val="24"/>
        </w:rPr>
        <w:t>cost alternative, Brad noted that one vendor has proposed an AI</w:t>
      </w:r>
      <w:r w:rsidRPr="00585A63">
        <w:rPr>
          <w:rFonts w:ascii="Cambria Math" w:hAnsi="Cambria Math" w:cs="Cambria Math"/>
          <w:color w:val="ED0000"/>
          <w:sz w:val="24"/>
          <w:szCs w:val="24"/>
        </w:rPr>
        <w:t>‑</w:t>
      </w:r>
      <w:r w:rsidRPr="00585A63">
        <w:rPr>
          <w:rFonts w:ascii="Arial" w:hAnsi="Arial" w:cs="Arial"/>
          <w:color w:val="ED0000"/>
          <w:sz w:val="24"/>
          <w:szCs w:val="24"/>
        </w:rPr>
        <w:t>enabled scraping tool, though the group acknowledged the risks and accuracy considerations such a system would pose for students.</w:t>
      </w:r>
    </w:p>
    <w:p w14:paraId="4DB799F9" w14:textId="77777777" w:rsidR="00585A63" w:rsidRPr="00585A63" w:rsidRDefault="00585A63" w:rsidP="00585A63">
      <w:pPr>
        <w:ind w:left="2880"/>
        <w:rPr>
          <w:rFonts w:ascii="Arial" w:hAnsi="Arial" w:cs="Arial"/>
          <w:color w:val="ED0000"/>
          <w:sz w:val="24"/>
          <w:szCs w:val="24"/>
        </w:rPr>
      </w:pPr>
    </w:p>
    <w:p w14:paraId="11A5246F" w14:textId="1D9CCD01" w:rsidR="00585A63" w:rsidRPr="00585A63" w:rsidRDefault="00585A63" w:rsidP="00585A63">
      <w:pPr>
        <w:ind w:left="2880"/>
        <w:rPr>
          <w:rFonts w:ascii="Arial" w:hAnsi="Arial" w:cs="Arial"/>
          <w:color w:val="ED0000"/>
          <w:sz w:val="24"/>
          <w:szCs w:val="24"/>
        </w:rPr>
      </w:pPr>
      <w:r w:rsidRPr="00585A63">
        <w:rPr>
          <w:rFonts w:ascii="Arial" w:hAnsi="Arial" w:cs="Arial"/>
          <w:color w:val="ED0000"/>
          <w:sz w:val="24"/>
          <w:szCs w:val="24"/>
        </w:rPr>
        <w:t xml:space="preserve">Brad provided </w:t>
      </w:r>
      <w:hyperlink r:id="rId8" w:history="1">
        <w:r w:rsidRPr="00585A63">
          <w:rPr>
            <w:rStyle w:val="Hyperlink"/>
            <w:rFonts w:ascii="Arial" w:hAnsi="Arial" w:cs="Arial"/>
            <w:sz w:val="24"/>
            <w:szCs w:val="24"/>
          </w:rPr>
          <w:t>a link to the portal</w:t>
        </w:r>
      </w:hyperlink>
      <w:r w:rsidRPr="00585A63">
        <w:rPr>
          <w:rFonts w:ascii="Arial" w:hAnsi="Arial" w:cs="Arial"/>
          <w:color w:val="ED0000"/>
          <w:sz w:val="24"/>
          <w:szCs w:val="24"/>
        </w:rPr>
        <w:t xml:space="preserve"> and assigned a brief homework exercise: members are invited to explore the site, respond to a short set of reflection questions, and complete a prioritization survey to help CDHE plan Phase 2 development and refine future funding requests. He also emphasized that transparency, usability, and cross</w:t>
      </w:r>
      <w:r w:rsidRPr="00585A63">
        <w:rPr>
          <w:rFonts w:ascii="Cambria Math" w:hAnsi="Cambria Math" w:cs="Cambria Math"/>
          <w:color w:val="ED0000"/>
          <w:sz w:val="24"/>
          <w:szCs w:val="24"/>
        </w:rPr>
        <w:t>‑</w:t>
      </w:r>
      <w:r w:rsidRPr="00585A63">
        <w:rPr>
          <w:rFonts w:ascii="Arial" w:hAnsi="Arial" w:cs="Arial"/>
          <w:color w:val="ED0000"/>
          <w:sz w:val="24"/>
          <w:szCs w:val="24"/>
        </w:rPr>
        <w:t>institutional coherence are central areas where feedback is particularly needed.</w:t>
      </w:r>
    </w:p>
    <w:p w14:paraId="2A4B64E3" w14:textId="77777777" w:rsidR="002F333D" w:rsidRDefault="002F333D" w:rsidP="002F333D">
      <w:pPr>
        <w:rPr>
          <w:rFonts w:ascii="Arial" w:hAnsi="Arial" w:cs="Arial"/>
          <w:i/>
          <w:iCs/>
          <w:color w:val="4F6228" w:themeColor="accent3" w:themeShade="80"/>
          <w:sz w:val="24"/>
          <w:szCs w:val="24"/>
        </w:rPr>
      </w:pPr>
    </w:p>
    <w:p w14:paraId="6FF16920" w14:textId="223875FF" w:rsidR="006A14D8" w:rsidRPr="008460F3" w:rsidRDefault="00732BBE" w:rsidP="008460F3">
      <w:pPr>
        <w:pStyle w:val="Informal1"/>
        <w:ind w:left="2880" w:right="-126" w:hanging="2880"/>
        <w:rPr>
          <w:rFonts w:ascii="Trebuchet MS" w:hAnsi="Trebuchet MS"/>
          <w:iCs/>
          <w:sz w:val="22"/>
          <w:szCs w:val="22"/>
        </w:rPr>
      </w:pPr>
      <w:r>
        <w:rPr>
          <w:rFonts w:ascii="Trebuchet MS" w:hAnsi="Trebuchet MS"/>
          <w:iCs/>
          <w:sz w:val="22"/>
          <w:szCs w:val="22"/>
        </w:rPr>
        <w:tab/>
      </w:r>
      <w:r w:rsidR="00BB6417">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DDFF"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07CD279" w14:textId="76B5F129" w:rsidR="00FB6F51" w:rsidRPr="00C241AA" w:rsidRDefault="00011447" w:rsidP="00FB6F51">
      <w:pPr>
        <w:pStyle w:val="Informal2"/>
        <w:tabs>
          <w:tab w:val="right" w:pos="2160"/>
        </w:tabs>
      </w:pPr>
      <w:r>
        <w:t>2:20 pm</w:t>
      </w:r>
      <w:r w:rsidR="00FB6F51" w:rsidRPr="002B1B26">
        <w:tab/>
      </w:r>
      <w:r w:rsidR="00FB6F51" w:rsidRPr="002B1B26">
        <w:tab/>
      </w:r>
      <w:r w:rsidR="00261D6B">
        <w:t>Closing Discussion &amp; Next Steps</w:t>
      </w:r>
    </w:p>
    <w:p w14:paraId="0FA35203" w14:textId="77777777" w:rsidR="00FB6F51" w:rsidRDefault="00FB6F51" w:rsidP="00FB6F5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Subcommittee Chair</w:t>
      </w:r>
    </w:p>
    <w:p w14:paraId="30368FE9" w14:textId="57CDF9D8" w:rsidR="00367C17" w:rsidRPr="00367C17" w:rsidRDefault="00367C17" w:rsidP="00367C17">
      <w:pPr>
        <w:ind w:left="2880"/>
        <w:rPr>
          <w:rFonts w:ascii="Arial" w:hAnsi="Arial" w:cs="Arial"/>
          <w:color w:val="ED0000"/>
          <w:sz w:val="24"/>
          <w:szCs w:val="24"/>
        </w:rPr>
      </w:pPr>
      <w:r>
        <w:rPr>
          <w:rFonts w:ascii="Arial" w:hAnsi="Arial" w:cs="Arial"/>
          <w:color w:val="ED0000"/>
          <w:sz w:val="24"/>
          <w:szCs w:val="24"/>
        </w:rPr>
        <w:t xml:space="preserve">In Commissioner Abramson’s absence, DHE staff reminded members to review the two SHEEO transfer reports that were </w:t>
      </w:r>
      <w:r w:rsidRPr="00367C17">
        <w:rPr>
          <w:rFonts w:ascii="Arial" w:hAnsi="Arial" w:cs="Arial"/>
          <w:color w:val="ED0000"/>
          <w:sz w:val="24"/>
          <w:szCs w:val="24"/>
        </w:rPr>
        <w:t>attached to the</w:t>
      </w:r>
      <w:r>
        <w:rPr>
          <w:rFonts w:ascii="Arial" w:hAnsi="Arial" w:cs="Arial"/>
          <w:color w:val="ED0000"/>
          <w:sz w:val="24"/>
          <w:szCs w:val="24"/>
        </w:rPr>
        <w:t xml:space="preserve"> calendar invite for this meeting</w:t>
      </w:r>
      <w:r w:rsidRPr="00367C17">
        <w:rPr>
          <w:rFonts w:ascii="Arial" w:hAnsi="Arial" w:cs="Arial"/>
          <w:color w:val="ED0000"/>
          <w:sz w:val="24"/>
          <w:szCs w:val="24"/>
        </w:rPr>
        <w:t>. These reports provide background for forthcoming discussions on the policy origins of SB 24</w:t>
      </w:r>
      <w:r w:rsidRPr="00367C17">
        <w:rPr>
          <w:rFonts w:ascii="Arial" w:hAnsi="Arial" w:cs="Arial"/>
          <w:color w:val="ED0000"/>
          <w:sz w:val="24"/>
          <w:szCs w:val="24"/>
        </w:rPr>
        <w:noBreakHyphen/>
        <w:t>164 and HB 25</w:t>
      </w:r>
      <w:r w:rsidRPr="00367C17">
        <w:rPr>
          <w:rFonts w:ascii="Arial" w:hAnsi="Arial" w:cs="Arial"/>
          <w:color w:val="ED0000"/>
          <w:sz w:val="24"/>
          <w:szCs w:val="24"/>
        </w:rPr>
        <w:noBreakHyphen/>
        <w:t>1038, as well as the statewide transfer ecosystem that informed the</w:t>
      </w:r>
      <w:r>
        <w:rPr>
          <w:rFonts w:ascii="Arial" w:hAnsi="Arial" w:cs="Arial"/>
          <w:color w:val="ED0000"/>
          <w:sz w:val="24"/>
          <w:szCs w:val="24"/>
        </w:rPr>
        <w:t>se</w:t>
      </w:r>
      <w:r w:rsidRPr="00367C17">
        <w:rPr>
          <w:rFonts w:ascii="Arial" w:hAnsi="Arial" w:cs="Arial"/>
          <w:color w:val="ED0000"/>
          <w:sz w:val="24"/>
          <w:szCs w:val="24"/>
        </w:rPr>
        <w:t xml:space="preserve"> latest legislative actions. </w:t>
      </w:r>
      <w:r w:rsidRPr="00367C17">
        <w:rPr>
          <w:rFonts w:ascii="Arial" w:hAnsi="Arial" w:cs="Arial"/>
          <w:color w:val="ED0000"/>
          <w:sz w:val="24"/>
          <w:szCs w:val="24"/>
        </w:rPr>
        <w:lastRenderedPageBreak/>
        <w:t xml:space="preserve">The meeting </w:t>
      </w:r>
      <w:r w:rsidRPr="00367C17">
        <w:rPr>
          <w:rFonts w:ascii="Arial" w:hAnsi="Arial" w:cs="Arial"/>
          <w:color w:val="ED0000"/>
          <w:sz w:val="24"/>
          <w:szCs w:val="24"/>
        </w:rPr>
        <w:t>adjourned</w:t>
      </w:r>
      <w:r>
        <w:rPr>
          <w:rFonts w:ascii="Arial" w:hAnsi="Arial" w:cs="Arial"/>
          <w:color w:val="ED0000"/>
          <w:sz w:val="24"/>
          <w:szCs w:val="24"/>
        </w:rPr>
        <w:t xml:space="preserve">, thanking </w:t>
      </w:r>
      <w:r w:rsidRPr="00367C17">
        <w:rPr>
          <w:rFonts w:ascii="Arial" w:hAnsi="Arial" w:cs="Arial"/>
          <w:color w:val="ED0000"/>
          <w:sz w:val="24"/>
          <w:szCs w:val="24"/>
        </w:rPr>
        <w:t>members for their engagement, and DHE staff committed to revisiting several complex topics</w:t>
      </w:r>
      <w:r>
        <w:rPr>
          <w:rFonts w:ascii="Arial" w:hAnsi="Arial" w:cs="Arial"/>
          <w:color w:val="ED0000"/>
          <w:sz w:val="24"/>
          <w:szCs w:val="24"/>
        </w:rPr>
        <w:t xml:space="preserve"> </w:t>
      </w:r>
      <w:r w:rsidRPr="00367C17">
        <w:rPr>
          <w:rFonts w:ascii="Arial" w:hAnsi="Arial" w:cs="Arial"/>
          <w:color w:val="ED0000"/>
          <w:sz w:val="24"/>
          <w:szCs w:val="24"/>
        </w:rPr>
        <w:t>—</w:t>
      </w:r>
      <w:r>
        <w:rPr>
          <w:rFonts w:ascii="Arial" w:hAnsi="Arial" w:cs="Arial"/>
          <w:color w:val="ED0000"/>
          <w:sz w:val="24"/>
          <w:szCs w:val="24"/>
        </w:rPr>
        <w:t xml:space="preserve"> </w:t>
      </w:r>
      <w:r w:rsidRPr="00367C17">
        <w:rPr>
          <w:rFonts w:ascii="Arial" w:hAnsi="Arial" w:cs="Arial"/>
          <w:color w:val="ED0000"/>
          <w:sz w:val="24"/>
          <w:szCs w:val="24"/>
        </w:rPr>
        <w:t>including PLA documentation standards</w:t>
      </w:r>
      <w:r>
        <w:rPr>
          <w:rFonts w:ascii="Arial" w:hAnsi="Arial" w:cs="Arial"/>
          <w:color w:val="ED0000"/>
          <w:sz w:val="24"/>
          <w:szCs w:val="24"/>
        </w:rPr>
        <w:t xml:space="preserve"> </w:t>
      </w:r>
      <w:r w:rsidRPr="00367C17">
        <w:rPr>
          <w:rFonts w:ascii="Arial" w:hAnsi="Arial" w:cs="Arial"/>
          <w:color w:val="ED0000"/>
          <w:sz w:val="24"/>
          <w:szCs w:val="24"/>
        </w:rPr>
        <w:t>—</w:t>
      </w:r>
      <w:r>
        <w:rPr>
          <w:rFonts w:ascii="Arial" w:hAnsi="Arial" w:cs="Arial"/>
          <w:color w:val="ED0000"/>
          <w:sz w:val="24"/>
          <w:szCs w:val="24"/>
        </w:rPr>
        <w:t xml:space="preserve"> </w:t>
      </w:r>
      <w:r w:rsidRPr="00367C17">
        <w:rPr>
          <w:rFonts w:ascii="Arial" w:hAnsi="Arial" w:cs="Arial"/>
          <w:color w:val="ED0000"/>
          <w:sz w:val="24"/>
          <w:szCs w:val="24"/>
        </w:rPr>
        <w:t>at the next session.</w:t>
      </w:r>
      <w:r>
        <w:rPr>
          <w:rFonts w:ascii="Arial" w:hAnsi="Arial" w:cs="Arial"/>
          <w:color w:val="ED0000"/>
          <w:sz w:val="24"/>
          <w:szCs w:val="24"/>
        </w:rPr>
        <w:t xml:space="preserve"> </w:t>
      </w:r>
    </w:p>
    <w:p w14:paraId="46573963" w14:textId="77777777" w:rsidR="00FB6F51" w:rsidRDefault="00FB6F51" w:rsidP="00272F68">
      <w:pPr>
        <w:pStyle w:val="Informal2"/>
        <w:tabs>
          <w:tab w:val="right" w:pos="2160"/>
        </w:tabs>
        <w:ind w:left="2880" w:hanging="2880"/>
      </w:pPr>
    </w:p>
    <w:p w14:paraId="380CB5C4" w14:textId="496A99C5" w:rsidR="00FB6F51" w:rsidRDefault="00FB6F51" w:rsidP="00272F68">
      <w:pPr>
        <w:pStyle w:val="Informal2"/>
        <w:tabs>
          <w:tab w:val="right" w:pos="2160"/>
        </w:tabs>
        <w:ind w:left="2880" w:hanging="2880"/>
      </w:pPr>
      <w:r>
        <w:rPr>
          <w:rFonts w:ascii="Trebuchet MS" w:hAnsi="Trebuchet MS"/>
          <w:noProof/>
        </w:rPr>
        <mc:AlternateContent>
          <mc:Choice Requires="wps">
            <w:drawing>
              <wp:anchor distT="0" distB="0" distL="114300" distR="114300" simplePos="0" relativeHeight="251683840" behindDoc="0" locked="0" layoutInCell="1" allowOverlap="1" wp14:anchorId="1999E559" wp14:editId="40004573">
                <wp:simplePos x="0" y="0"/>
                <wp:positionH relativeFrom="margin">
                  <wp:posOffset>0</wp:posOffset>
                </wp:positionH>
                <wp:positionV relativeFrom="paragraph">
                  <wp:posOffset>57150</wp:posOffset>
                </wp:positionV>
                <wp:extent cx="6105525" cy="0"/>
                <wp:effectExtent l="38100" t="57150" r="66675" b="114300"/>
                <wp:wrapNone/>
                <wp:docPr id="2021350999" name="Straight Connector 2021350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EBA3" id="Straight Connector 2021350999"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64A69D91" w:rsidR="0017343D" w:rsidRPr="00D92EDC" w:rsidRDefault="00430687" w:rsidP="00272F68">
      <w:pPr>
        <w:pStyle w:val="Informal2"/>
        <w:tabs>
          <w:tab w:val="right" w:pos="2160"/>
        </w:tabs>
        <w:ind w:left="2880" w:hanging="2880"/>
      </w:pPr>
      <w:r w:rsidRPr="002B1B26">
        <w:t>Next meeting date:</w:t>
      </w:r>
      <w:r w:rsidR="00A47DB5">
        <w:t xml:space="preserve"> </w:t>
      </w:r>
      <w:r w:rsidR="00BD2B00">
        <w:t xml:space="preserve">Thursday, February 12, 2026 – 1:00 – 2:30 pm </w:t>
      </w:r>
    </w:p>
    <w:p w14:paraId="18A7B858" w14:textId="77777777" w:rsidR="0017343D" w:rsidRDefault="0017343D" w:rsidP="008460F3">
      <w:pPr>
        <w:rPr>
          <w:rFonts w:ascii="Arial" w:hAnsi="Arial" w:cs="Arial"/>
          <w:color w:val="FF0000"/>
          <w:sz w:val="24"/>
          <w:szCs w:val="24"/>
        </w:rPr>
      </w:pPr>
    </w:p>
    <w:p w14:paraId="1BDE44AE" w14:textId="77777777" w:rsidR="00A63A16" w:rsidRDefault="00A63A16">
      <w:pPr>
        <w:rPr>
          <w:rFonts w:ascii="Arial" w:hAnsi="Arial" w:cs="Arial"/>
        </w:rPr>
      </w:pPr>
    </w:p>
    <w:p w14:paraId="31CD2E40" w14:textId="77777777" w:rsidR="00272F68" w:rsidRPr="002B1B26" w:rsidRDefault="00272F68">
      <w:pPr>
        <w:rPr>
          <w:rFonts w:ascii="Arial" w:hAnsi="Arial" w:cs="Arial"/>
        </w:rPr>
      </w:pPr>
    </w:p>
    <w:p w14:paraId="73ABB2FE" w14:textId="1C3794B8" w:rsidR="008A2A1F" w:rsidRPr="002B1B26" w:rsidRDefault="008A2A1F">
      <w:pPr>
        <w:rPr>
          <w:rFonts w:ascii="Arial" w:hAnsi="Arial" w:cs="Arial"/>
          <w:b/>
          <w:sz w:val="24"/>
          <w:szCs w:val="24"/>
        </w:rPr>
      </w:pPr>
      <w:r w:rsidRPr="002B1B26">
        <w:rPr>
          <w:rFonts w:ascii="Arial" w:hAnsi="Arial" w:cs="Arial"/>
          <w:b/>
          <w:sz w:val="24"/>
          <w:szCs w:val="24"/>
        </w:rPr>
        <w:t>ACTION ITEMS</w:t>
      </w:r>
    </w:p>
    <w:p w14:paraId="1CFE9ED4" w14:textId="77777777" w:rsidR="008A2A1F" w:rsidRPr="002B1B26" w:rsidRDefault="008A2A1F">
      <w:pPr>
        <w:rPr>
          <w:rFonts w:ascii="Arial" w:hAnsi="Arial" w:cs="Arial"/>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8A2A1F">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bookmarkStart w:id="3" w:name="AdditionalInformation"/>
      <w:bookmarkEnd w:id="3"/>
    </w:p>
    <w:sectPr w:rsidR="002A471F" w:rsidRPr="002B1B26" w:rsidSect="00F97AAC">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9F4C909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B346E47"/>
    <w:multiLevelType w:val="hybridMultilevel"/>
    <w:tmpl w:val="DC9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BC260FB"/>
    <w:multiLevelType w:val="hybridMultilevel"/>
    <w:tmpl w:val="7182F040"/>
    <w:lvl w:ilvl="0" w:tplc="453EE63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5"/>
  </w:num>
  <w:num w:numId="2" w16cid:durableId="1345016178">
    <w:abstractNumId w:val="6"/>
  </w:num>
  <w:num w:numId="3" w16cid:durableId="855119947">
    <w:abstractNumId w:val="3"/>
  </w:num>
  <w:num w:numId="4" w16cid:durableId="1728718574">
    <w:abstractNumId w:val="1"/>
  </w:num>
  <w:num w:numId="5" w16cid:durableId="545222613">
    <w:abstractNumId w:val="0"/>
  </w:num>
  <w:num w:numId="6" w16cid:durableId="769665574">
    <w:abstractNumId w:val="2"/>
  </w:num>
  <w:num w:numId="7" w16cid:durableId="17595165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447"/>
    <w:rsid w:val="000118DD"/>
    <w:rsid w:val="000123F5"/>
    <w:rsid w:val="00013DD1"/>
    <w:rsid w:val="000154AD"/>
    <w:rsid w:val="000170E4"/>
    <w:rsid w:val="00025C55"/>
    <w:rsid w:val="000332D8"/>
    <w:rsid w:val="00033957"/>
    <w:rsid w:val="0003468C"/>
    <w:rsid w:val="00034BF9"/>
    <w:rsid w:val="00035255"/>
    <w:rsid w:val="000366E1"/>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AAD"/>
    <w:rsid w:val="00077B14"/>
    <w:rsid w:val="000814A2"/>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496D"/>
    <w:rsid w:val="000A5CC4"/>
    <w:rsid w:val="000B03F4"/>
    <w:rsid w:val="000B2C28"/>
    <w:rsid w:val="000B5666"/>
    <w:rsid w:val="000B57ED"/>
    <w:rsid w:val="000B5843"/>
    <w:rsid w:val="000B6817"/>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3173"/>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2988"/>
    <w:rsid w:val="001F4DFA"/>
    <w:rsid w:val="001F5894"/>
    <w:rsid w:val="002003E2"/>
    <w:rsid w:val="002022FF"/>
    <w:rsid w:val="00202814"/>
    <w:rsid w:val="00203051"/>
    <w:rsid w:val="00203112"/>
    <w:rsid w:val="002162EE"/>
    <w:rsid w:val="0021787A"/>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47FE"/>
    <w:rsid w:val="00256801"/>
    <w:rsid w:val="00256B37"/>
    <w:rsid w:val="00260052"/>
    <w:rsid w:val="00260CEF"/>
    <w:rsid w:val="00261D6B"/>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2A96"/>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67C17"/>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07A72"/>
    <w:rsid w:val="004109C0"/>
    <w:rsid w:val="0041312D"/>
    <w:rsid w:val="004174C1"/>
    <w:rsid w:val="00430687"/>
    <w:rsid w:val="00430D8A"/>
    <w:rsid w:val="00431E1E"/>
    <w:rsid w:val="00440439"/>
    <w:rsid w:val="00440995"/>
    <w:rsid w:val="00441BE2"/>
    <w:rsid w:val="00441CF8"/>
    <w:rsid w:val="00443E44"/>
    <w:rsid w:val="00445197"/>
    <w:rsid w:val="0044620D"/>
    <w:rsid w:val="00446D8D"/>
    <w:rsid w:val="0044766B"/>
    <w:rsid w:val="00447AD7"/>
    <w:rsid w:val="004539D7"/>
    <w:rsid w:val="0045404E"/>
    <w:rsid w:val="00455E0E"/>
    <w:rsid w:val="00457C83"/>
    <w:rsid w:val="00460695"/>
    <w:rsid w:val="00461211"/>
    <w:rsid w:val="00461DDA"/>
    <w:rsid w:val="0046244C"/>
    <w:rsid w:val="00462771"/>
    <w:rsid w:val="00464630"/>
    <w:rsid w:val="00464CFA"/>
    <w:rsid w:val="00466179"/>
    <w:rsid w:val="004665EB"/>
    <w:rsid w:val="004672EC"/>
    <w:rsid w:val="00471EAF"/>
    <w:rsid w:val="00472231"/>
    <w:rsid w:val="00472668"/>
    <w:rsid w:val="00474499"/>
    <w:rsid w:val="004759AA"/>
    <w:rsid w:val="004800CD"/>
    <w:rsid w:val="00483BD1"/>
    <w:rsid w:val="00486161"/>
    <w:rsid w:val="00487E03"/>
    <w:rsid w:val="0049068F"/>
    <w:rsid w:val="00490C99"/>
    <w:rsid w:val="004924E8"/>
    <w:rsid w:val="00494481"/>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BAE"/>
    <w:rsid w:val="004B62FF"/>
    <w:rsid w:val="004B747E"/>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5A8D"/>
    <w:rsid w:val="00526149"/>
    <w:rsid w:val="00526AF5"/>
    <w:rsid w:val="005270F0"/>
    <w:rsid w:val="00527975"/>
    <w:rsid w:val="005352AC"/>
    <w:rsid w:val="00536816"/>
    <w:rsid w:val="00536A8C"/>
    <w:rsid w:val="00537CEE"/>
    <w:rsid w:val="00541307"/>
    <w:rsid w:val="00544A61"/>
    <w:rsid w:val="00545933"/>
    <w:rsid w:val="00550368"/>
    <w:rsid w:val="0055115B"/>
    <w:rsid w:val="00551FAB"/>
    <w:rsid w:val="00552CF7"/>
    <w:rsid w:val="00554CAE"/>
    <w:rsid w:val="00556FAA"/>
    <w:rsid w:val="005603D0"/>
    <w:rsid w:val="005626AF"/>
    <w:rsid w:val="00562EE8"/>
    <w:rsid w:val="00564A90"/>
    <w:rsid w:val="00564C5F"/>
    <w:rsid w:val="00570B51"/>
    <w:rsid w:val="00572A00"/>
    <w:rsid w:val="00576460"/>
    <w:rsid w:val="00577F75"/>
    <w:rsid w:val="005806B6"/>
    <w:rsid w:val="00581CC1"/>
    <w:rsid w:val="0058382F"/>
    <w:rsid w:val="00585A63"/>
    <w:rsid w:val="00585DBA"/>
    <w:rsid w:val="0058778D"/>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156"/>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0E6C"/>
    <w:rsid w:val="008C1247"/>
    <w:rsid w:val="008C392D"/>
    <w:rsid w:val="008C42DB"/>
    <w:rsid w:val="008C4516"/>
    <w:rsid w:val="008C4CED"/>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2BAD"/>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C46"/>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222F"/>
    <w:rsid w:val="00A23ACA"/>
    <w:rsid w:val="00A3717B"/>
    <w:rsid w:val="00A37A40"/>
    <w:rsid w:val="00A4071F"/>
    <w:rsid w:val="00A412ED"/>
    <w:rsid w:val="00A41C81"/>
    <w:rsid w:val="00A42AB8"/>
    <w:rsid w:val="00A44737"/>
    <w:rsid w:val="00A44B18"/>
    <w:rsid w:val="00A47473"/>
    <w:rsid w:val="00A479CC"/>
    <w:rsid w:val="00A47DB5"/>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9C2"/>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855"/>
    <w:rsid w:val="00AF693D"/>
    <w:rsid w:val="00B01755"/>
    <w:rsid w:val="00B030F2"/>
    <w:rsid w:val="00B05133"/>
    <w:rsid w:val="00B0560B"/>
    <w:rsid w:val="00B05A1A"/>
    <w:rsid w:val="00B05D1B"/>
    <w:rsid w:val="00B06272"/>
    <w:rsid w:val="00B0645C"/>
    <w:rsid w:val="00B06710"/>
    <w:rsid w:val="00B10E83"/>
    <w:rsid w:val="00B11CB9"/>
    <w:rsid w:val="00B12ABC"/>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14AA"/>
    <w:rsid w:val="00BA2E35"/>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D81"/>
    <w:rsid w:val="00BD2B00"/>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41E9"/>
    <w:rsid w:val="00C374D2"/>
    <w:rsid w:val="00C40523"/>
    <w:rsid w:val="00C418B5"/>
    <w:rsid w:val="00C41C42"/>
    <w:rsid w:val="00C4208D"/>
    <w:rsid w:val="00C45030"/>
    <w:rsid w:val="00C457D1"/>
    <w:rsid w:val="00C5393D"/>
    <w:rsid w:val="00C53AB5"/>
    <w:rsid w:val="00C53AEE"/>
    <w:rsid w:val="00C54B0B"/>
    <w:rsid w:val="00C55147"/>
    <w:rsid w:val="00C56CB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75A3"/>
    <w:rsid w:val="00CA7DDA"/>
    <w:rsid w:val="00CB1F30"/>
    <w:rsid w:val="00CB28A9"/>
    <w:rsid w:val="00CB296B"/>
    <w:rsid w:val="00CB3D6C"/>
    <w:rsid w:val="00CB487E"/>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4D90"/>
    <w:rsid w:val="00D1604D"/>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7A7"/>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3C0D"/>
    <w:rsid w:val="00E440DE"/>
    <w:rsid w:val="00E4438D"/>
    <w:rsid w:val="00E449E8"/>
    <w:rsid w:val="00E46DD3"/>
    <w:rsid w:val="00E47FAE"/>
    <w:rsid w:val="00E50F0B"/>
    <w:rsid w:val="00E51C4F"/>
    <w:rsid w:val="00E569F5"/>
    <w:rsid w:val="00E56B15"/>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61E4"/>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0F6B"/>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416B"/>
    <w:rsid w:val="00FB5840"/>
    <w:rsid w:val="00FB5D98"/>
    <w:rsid w:val="00FB6CC4"/>
    <w:rsid w:val="00FB6EA7"/>
    <w:rsid w:val="00FB6F51"/>
    <w:rsid w:val="00FC06BD"/>
    <w:rsid w:val="00FC13C6"/>
    <w:rsid w:val="00FC2F41"/>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he.colorado.gov/students/attending-college/colorado-transf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ighered-colorado-gov.zoom.us/j/87279269896?pwd=6sfs4N6FSTAgIu6YcNlaLQXh3M91RT.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994</Words>
  <Characters>6661</Characters>
  <Application>Microsoft Office Word</Application>
  <DocSecurity>0</DocSecurity>
  <Lines>444</Lines>
  <Paragraphs>225</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10</cp:revision>
  <cp:lastPrinted>2021-03-26T16:04:00Z</cp:lastPrinted>
  <dcterms:created xsi:type="dcterms:W3CDTF">2026-01-26T19:50:00Z</dcterms:created>
  <dcterms:modified xsi:type="dcterms:W3CDTF">2026-01-27T17:02:00Z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