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B3" w:rsidRDefault="000F73B3" w:rsidP="00E04E5A">
      <w:pPr>
        <w:spacing w:before="120" w:after="120"/>
        <w:jc w:val="center"/>
        <w:rPr>
          <w:rFonts w:ascii="Times New Roman" w:hAnsi="Times New Roman" w:cs="Times New Roman"/>
          <w:b/>
          <w:sz w:val="28"/>
          <w:szCs w:val="28"/>
          <w:u w:val="single"/>
        </w:rPr>
      </w:pPr>
    </w:p>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1819E3">
      <w:pPr>
        <w:spacing w:after="72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601353">
        <w:rPr>
          <w:rFonts w:ascii="Times New Roman" w:hAnsi="Times New Roman" w:cs="Times New Roman"/>
          <w:b/>
          <w:sz w:val="26"/>
          <w:szCs w:val="26"/>
        </w:rPr>
        <w:t>SOCIAL &amp; BEHAVIORAL SCIENCES</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601353">
        <w:rPr>
          <w:rFonts w:ascii="Times New Roman" w:hAnsi="Times New Roman" w:cs="Times New Roman"/>
          <w:b/>
          <w:color w:val="FF0000"/>
          <w:sz w:val="26"/>
          <w:szCs w:val="26"/>
        </w:rPr>
        <w:t>GT-SS1 – Economic or Political Systems</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697093">
      <w:pPr>
        <w:spacing w:after="96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601353">
        <w:rPr>
          <w:rFonts w:ascii="Times New Roman" w:hAnsi="Times New Roman" w:cs="Times New Roman"/>
          <w:b/>
          <w:sz w:val="24"/>
          <w:szCs w:val="24"/>
        </w:rPr>
        <w:t xml:space="preserve">SOCIAL &amp; BEHAVIORAL SCIENCES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w:t>
      </w:r>
      <w:r w:rsidR="00601353">
        <w:rPr>
          <w:rFonts w:ascii="Times New Roman" w:hAnsi="Times New Roman" w:cs="Times New Roman"/>
          <w:b/>
          <w:color w:val="FF0000"/>
          <w:sz w:val="24"/>
          <w:szCs w:val="24"/>
        </w:rPr>
        <w:t>SS</w:t>
      </w:r>
      <w:r w:rsidR="006C3E4E">
        <w:rPr>
          <w:rFonts w:ascii="Times New Roman" w:hAnsi="Times New Roman" w:cs="Times New Roman"/>
          <w:b/>
          <w:color w:val="FF0000"/>
          <w:sz w:val="24"/>
          <w:szCs w:val="24"/>
        </w:rPr>
        <w:t>1</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1819E3">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9F1C39">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57170D" w:rsidRPr="007C14C8">
          <w:rPr>
            <w:rStyle w:val="Hyperlink"/>
            <w:rFonts w:ascii="Times New Roman" w:hAnsi="Times New Roman" w:cs="Times New Roman"/>
            <w:b/>
            <w:sz w:val="24"/>
            <w:szCs w:val="24"/>
          </w:rPr>
          <w:t>GT-</w:t>
        </w:r>
        <w:r w:rsidR="00601353">
          <w:rPr>
            <w:rStyle w:val="Hyperlink"/>
            <w:rFonts w:ascii="Times New Roman" w:hAnsi="Times New Roman" w:cs="Times New Roman"/>
            <w:b/>
            <w:sz w:val="24"/>
            <w:szCs w:val="24"/>
          </w:rPr>
          <w:t>SS</w:t>
        </w:r>
        <w:r w:rsidR="006C3E4E" w:rsidRPr="007C14C8">
          <w:rPr>
            <w:rStyle w:val="Hyperlink"/>
            <w:rFonts w:ascii="Times New Roman" w:hAnsi="Times New Roman" w:cs="Times New Roman"/>
            <w:b/>
            <w:sz w:val="24"/>
            <w:szCs w:val="24"/>
          </w:rPr>
          <w:t>1</w:t>
        </w:r>
        <w:r w:rsidR="0057170D" w:rsidRPr="007C14C8">
          <w:rPr>
            <w:rStyle w:val="Hyperlink"/>
            <w:rFonts w:ascii="Times New Roman" w:hAnsi="Times New Roman" w:cs="Times New Roman"/>
            <w:b/>
            <w:sz w:val="24"/>
            <w:szCs w:val="24"/>
          </w:rPr>
          <w:t xml:space="preserve"> content </w:t>
        </w:r>
        <w:r w:rsidRPr="007C14C8">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601353" w:rsidRPr="00601353" w:rsidRDefault="00601353" w:rsidP="00601353">
      <w:pPr>
        <w:widowControl w:val="0"/>
        <w:numPr>
          <w:ilvl w:val="0"/>
          <w:numId w:val="23"/>
        </w:numPr>
        <w:autoSpaceDE w:val="0"/>
        <w:autoSpaceDN w:val="0"/>
        <w:adjustRightInd w:val="0"/>
        <w:contextualSpacing/>
        <w:rPr>
          <w:rFonts w:ascii="Times New Roman" w:eastAsia="Times New Roman" w:hAnsi="Times New Roman" w:cs="Times New Roman"/>
          <w:bCs/>
          <w:color w:val="000000"/>
          <w:sz w:val="24"/>
        </w:rPr>
      </w:pPr>
      <w:r w:rsidRPr="00601353">
        <w:rPr>
          <w:rFonts w:ascii="Times New Roman" w:eastAsia="Times New Roman" w:hAnsi="Times New Roman" w:cs="Times New Roman"/>
          <w:color w:val="000000"/>
          <w:sz w:val="24"/>
        </w:rPr>
        <w:t xml:space="preserve">Demonstrate knowledge of economic </w:t>
      </w:r>
      <w:r w:rsidRPr="00601353">
        <w:rPr>
          <w:rFonts w:ascii="Times New Roman" w:eastAsia="Times New Roman" w:hAnsi="Times New Roman" w:cs="Times New Roman"/>
          <w:b/>
          <w:bCs/>
          <w:color w:val="000000"/>
          <w:sz w:val="24"/>
        </w:rPr>
        <w:t>or</w:t>
      </w:r>
      <w:r w:rsidRPr="00601353">
        <w:rPr>
          <w:rFonts w:ascii="Times New Roman" w:eastAsia="Times New Roman" w:hAnsi="Times New Roman" w:cs="Times New Roman"/>
          <w:color w:val="000000"/>
          <w:sz w:val="24"/>
        </w:rPr>
        <w:t xml:space="preserve"> political systems.</w:t>
      </w:r>
    </w:p>
    <w:p w:rsidR="00601353" w:rsidRPr="00601353" w:rsidRDefault="00601353" w:rsidP="00601353">
      <w:pPr>
        <w:widowControl w:val="0"/>
        <w:numPr>
          <w:ilvl w:val="0"/>
          <w:numId w:val="23"/>
        </w:numPr>
        <w:autoSpaceDE w:val="0"/>
        <w:autoSpaceDN w:val="0"/>
        <w:adjustRightInd w:val="0"/>
        <w:contextualSpacing/>
        <w:rPr>
          <w:rFonts w:ascii="Times New Roman" w:eastAsia="Times New Roman" w:hAnsi="Times New Roman" w:cs="Times New Roman"/>
          <w:color w:val="000000"/>
          <w:sz w:val="24"/>
        </w:rPr>
      </w:pPr>
      <w:r w:rsidRPr="00601353">
        <w:rPr>
          <w:rFonts w:ascii="Times New Roman" w:eastAsia="Times New Roman" w:hAnsi="Times New Roman" w:cs="Times New Roman"/>
          <w:color w:val="000000"/>
          <w:sz w:val="24"/>
        </w:rPr>
        <w:t>Use the social sciences to analyze and interpret issues.</w:t>
      </w:r>
    </w:p>
    <w:p w:rsidR="00601353" w:rsidRDefault="00601353" w:rsidP="001112F1">
      <w:pPr>
        <w:widowControl w:val="0"/>
        <w:numPr>
          <w:ilvl w:val="0"/>
          <w:numId w:val="23"/>
        </w:numPr>
        <w:autoSpaceDE w:val="0"/>
        <w:autoSpaceDN w:val="0"/>
        <w:adjustRightInd w:val="0"/>
        <w:spacing w:after="360"/>
        <w:rPr>
          <w:rFonts w:ascii="Times New Roman" w:eastAsia="Times New Roman" w:hAnsi="Times New Roman" w:cs="Times New Roman"/>
          <w:color w:val="000000"/>
          <w:sz w:val="24"/>
        </w:rPr>
      </w:pPr>
      <w:r w:rsidRPr="00601353">
        <w:rPr>
          <w:rFonts w:ascii="Times New Roman" w:eastAsia="Times New Roman" w:hAnsi="Times New Roman" w:cs="Times New Roman"/>
          <w:color w:val="000000"/>
          <w:sz w:val="24"/>
        </w:rPr>
        <w:t>Explain diverse perspectives and groups.</w:t>
      </w:r>
    </w:p>
    <w:p w:rsidR="00697093" w:rsidRDefault="00697093">
      <w:pPr>
        <w:rPr>
          <w:rFonts w:ascii="Times New Roman" w:hAnsi="Times New Roman" w:cs="Times New Roman"/>
          <w:i/>
          <w:sz w:val="24"/>
          <w:szCs w:val="24"/>
        </w:rPr>
      </w:pPr>
      <w:r>
        <w:rPr>
          <w:rFonts w:ascii="Times New Roman" w:hAnsi="Times New Roman" w:cs="Times New Roman"/>
          <w:i/>
          <w:sz w:val="24"/>
          <w:szCs w:val="24"/>
        </w:rPr>
        <w:br w:type="page"/>
      </w:r>
    </w:p>
    <w:p w:rsidR="00662BFD" w:rsidRPr="00697093" w:rsidRDefault="00697093" w:rsidP="000F73B3">
      <w:pPr>
        <w:autoSpaceDE w:val="0"/>
        <w:autoSpaceDN w:val="0"/>
        <w:adjustRightInd w:val="0"/>
        <w:spacing w:after="480"/>
        <w:ind w:right="432"/>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662BFD" w:rsidRPr="00697093">
        <w:rPr>
          <w:rFonts w:ascii="Times New Roman" w:hAnsi="Times New Roman" w:cs="Times New Roman"/>
          <w:i/>
          <w:sz w:val="24"/>
          <w:szCs w:val="24"/>
        </w:rPr>
        <w:t xml:space="preserve">The following </w:t>
      </w:r>
      <w:r>
        <w:rPr>
          <w:rFonts w:ascii="Times New Roman" w:hAnsi="Times New Roman" w:cs="Times New Roman"/>
          <w:i/>
          <w:sz w:val="24"/>
          <w:szCs w:val="24"/>
        </w:rPr>
        <w:t xml:space="preserve">paragraph </w:t>
      </w:r>
      <w:r w:rsidR="00662BFD" w:rsidRPr="00697093">
        <w:rPr>
          <w:rFonts w:ascii="Times New Roman" w:hAnsi="Times New Roman" w:cs="Times New Roman"/>
          <w:i/>
          <w:sz w:val="24"/>
          <w:szCs w:val="24"/>
        </w:rPr>
        <w:t>does not need to be included in the syllabus</w:t>
      </w:r>
      <w:r>
        <w:rPr>
          <w:rFonts w:ascii="Times New Roman" w:hAnsi="Times New Roman" w:cs="Times New Roman"/>
          <w:i/>
          <w:sz w:val="24"/>
          <w:szCs w:val="24"/>
        </w:rPr>
        <w:t>; h</w:t>
      </w:r>
      <w:r w:rsidR="00662BFD" w:rsidRPr="00697093">
        <w:rPr>
          <w:rFonts w:ascii="Times New Roman" w:hAnsi="Times New Roman" w:cs="Times New Roman"/>
          <w:i/>
          <w:sz w:val="24"/>
          <w:szCs w:val="24"/>
        </w:rPr>
        <w:t xml:space="preserve">owever, instructors who teach the course should be aware of these state-approved “Additional Requirements” for this </w:t>
      </w:r>
      <w:r w:rsidR="00EC75F2" w:rsidRPr="00697093">
        <w:rPr>
          <w:rFonts w:ascii="Times New Roman" w:hAnsi="Times New Roman" w:cs="Times New Roman"/>
          <w:i/>
          <w:sz w:val="24"/>
          <w:szCs w:val="24"/>
        </w:rPr>
        <w:t xml:space="preserve">GT Pathways content </w:t>
      </w:r>
      <w:r>
        <w:rPr>
          <w:rFonts w:ascii="Times New Roman" w:hAnsi="Times New Roman" w:cs="Times New Roman"/>
          <w:i/>
          <w:sz w:val="24"/>
          <w:szCs w:val="24"/>
        </w:rPr>
        <w:t xml:space="preserve">category. </w:t>
      </w:r>
      <w:r w:rsidR="00662BFD" w:rsidRPr="00697093">
        <w:rPr>
          <w:rFonts w:ascii="Times New Roman" w:hAnsi="Times New Roman" w:cs="Times New Roman"/>
          <w:i/>
          <w:sz w:val="24"/>
          <w:szCs w:val="24"/>
        </w:rPr>
        <w:t xml:space="preserve"> These “Additional Requirements” </w:t>
      </w:r>
      <w:r w:rsidR="00EC75F2" w:rsidRPr="00697093">
        <w:rPr>
          <w:rFonts w:ascii="Times New Roman" w:hAnsi="Times New Roman" w:cs="Times New Roman"/>
          <w:i/>
          <w:sz w:val="24"/>
          <w:szCs w:val="24"/>
        </w:rPr>
        <w:t xml:space="preserve">should </w:t>
      </w:r>
      <w:r w:rsidR="00662BFD" w:rsidRPr="00697093">
        <w:rPr>
          <w:rFonts w:ascii="Times New Roman" w:hAnsi="Times New Roman" w:cs="Times New Roman"/>
          <w:i/>
          <w:sz w:val="24"/>
          <w:szCs w:val="24"/>
        </w:rPr>
        <w:t xml:space="preserve">also serve as part of the evaluation criteria that institutions </w:t>
      </w:r>
      <w:r w:rsidR="00EC75F2" w:rsidRPr="00697093">
        <w:rPr>
          <w:rFonts w:ascii="Times New Roman" w:hAnsi="Times New Roman" w:cs="Times New Roman"/>
          <w:i/>
          <w:sz w:val="24"/>
          <w:szCs w:val="24"/>
        </w:rPr>
        <w:t xml:space="preserve">are </w:t>
      </w:r>
      <w:r w:rsidR="00662BFD" w:rsidRPr="00697093">
        <w:rPr>
          <w:rFonts w:ascii="Times New Roman" w:hAnsi="Times New Roman" w:cs="Times New Roman"/>
          <w:i/>
          <w:sz w:val="24"/>
          <w:szCs w:val="24"/>
        </w:rPr>
        <w:t xml:space="preserve">using to affirm that courses in this </w:t>
      </w:r>
      <w:r w:rsidR="00EC75F2" w:rsidRPr="00697093">
        <w:rPr>
          <w:rFonts w:ascii="Times New Roman" w:hAnsi="Times New Roman" w:cs="Times New Roman"/>
          <w:i/>
          <w:sz w:val="24"/>
          <w:szCs w:val="24"/>
        </w:rPr>
        <w:t xml:space="preserve">content </w:t>
      </w:r>
      <w:r w:rsidR="00662BFD" w:rsidRPr="00697093">
        <w:rPr>
          <w:rFonts w:ascii="Times New Roman" w:hAnsi="Times New Roman" w:cs="Times New Roman"/>
          <w:i/>
          <w:sz w:val="24"/>
          <w:szCs w:val="24"/>
        </w:rPr>
        <w:t xml:space="preserve">area meet the GT Pathways requirements.  Curriculum committees should be provided with this text and directed to evaluate whether courses in this </w:t>
      </w:r>
      <w:r w:rsidR="00EC75F2" w:rsidRPr="00697093">
        <w:rPr>
          <w:rFonts w:ascii="Times New Roman" w:hAnsi="Times New Roman" w:cs="Times New Roman"/>
          <w:i/>
          <w:sz w:val="24"/>
          <w:szCs w:val="24"/>
        </w:rPr>
        <w:t xml:space="preserve">content </w:t>
      </w:r>
      <w:r w:rsidR="00662BFD" w:rsidRPr="00697093">
        <w:rPr>
          <w:rFonts w:ascii="Times New Roman" w:hAnsi="Times New Roman" w:cs="Times New Roman"/>
          <w:i/>
          <w:sz w:val="24"/>
          <w:szCs w:val="24"/>
        </w:rPr>
        <w:t>category meet these requirements before they are approved by the institution.</w:t>
      </w:r>
    </w:p>
    <w:p w:rsidR="001112F1" w:rsidRPr="001112F1" w:rsidRDefault="001112F1" w:rsidP="00A92228">
      <w:pPr>
        <w:autoSpaceDE w:val="0"/>
        <w:autoSpaceDN w:val="0"/>
        <w:adjustRightInd w:val="0"/>
        <w:ind w:right="432"/>
        <w:rPr>
          <w:rFonts w:ascii="Times New Roman" w:hAnsi="Times New Roman" w:cs="Times New Roman"/>
          <w:b/>
          <w:bCs/>
          <w:sz w:val="24"/>
          <w:szCs w:val="24"/>
          <w:u w:val="single"/>
        </w:rPr>
      </w:pPr>
      <w:r w:rsidRPr="001112F1">
        <w:rPr>
          <w:rFonts w:ascii="Times New Roman" w:hAnsi="Times New Roman" w:cs="Times New Roman"/>
          <w:b/>
          <w:bCs/>
          <w:sz w:val="24"/>
          <w:szCs w:val="24"/>
          <w:u w:val="single"/>
        </w:rPr>
        <w:t>Additional Requirements for Designating a Social &amp; Behavioral Science Course as GT Pathways:</w:t>
      </w:r>
    </w:p>
    <w:p w:rsidR="001819E3" w:rsidRDefault="001112F1" w:rsidP="00A92228">
      <w:pPr>
        <w:widowControl w:val="0"/>
        <w:autoSpaceDE w:val="0"/>
        <w:autoSpaceDN w:val="0"/>
        <w:adjustRightInd w:val="0"/>
        <w:spacing w:after="360"/>
        <w:ind w:right="432"/>
        <w:rPr>
          <w:rFonts w:ascii="Times New Roman" w:eastAsia="Cambria" w:hAnsi="Times New Roman" w:cs="Times New Roman"/>
          <w:color w:val="000000"/>
          <w:sz w:val="24"/>
          <w:szCs w:val="24"/>
        </w:rPr>
      </w:pPr>
      <w:r w:rsidRPr="001112F1">
        <w:rPr>
          <w:rFonts w:ascii="Times New Roman" w:eastAsia="Cambria" w:hAnsi="Times New Roman" w:cs="Times New Roman"/>
          <w:color w:val="000000"/>
          <w:sz w:val="24"/>
          <w:szCs w:val="24"/>
        </w:rPr>
        <w:t>A course in the Social &amp; Behavioral Sciences must show evidence of significant high impact educational practices such as writing, collaborative learning, immersive learning, community/civic engagement, or research. Assigned writing, for instance, need not be limited to polished paper writing but might include low-stakes write-to- learn or write-to-engage for purposes of enhanced learning. Research suggests that students learn and retain more when they write about what they are learning.</w:t>
      </w:r>
      <w:r w:rsidRPr="001112F1">
        <w:rPr>
          <w:rFonts w:ascii="Times New Roman" w:eastAsia="Cambria" w:hAnsi="Times New Roman" w:cs="Times New Roman"/>
          <w:color w:val="000000"/>
          <w:sz w:val="24"/>
          <w:szCs w:val="24"/>
          <w:vertAlign w:val="superscript"/>
        </w:rPr>
        <w:footnoteReference w:id="1"/>
      </w:r>
      <w:r w:rsidRPr="001112F1">
        <w:rPr>
          <w:rFonts w:ascii="Times New Roman" w:eastAsia="Cambria" w:hAnsi="Times New Roman" w:cs="Times New Roman"/>
          <w:color w:val="000000"/>
          <w:sz w:val="24"/>
          <w:szCs w:val="24"/>
        </w:rPr>
        <w:t xml:space="preserve"> Additionally, students can learn a great deal about content through revision processes associated with writing that focus on responding to a peer or instructor’s advice and revising to demonstrate their growing understanding of a subject.</w:t>
      </w:r>
      <w:r w:rsidRPr="001112F1">
        <w:rPr>
          <w:rFonts w:ascii="Times New Roman" w:eastAsia="Cambria" w:hAnsi="Times New Roman" w:cs="Times New Roman"/>
          <w:color w:val="000000"/>
          <w:sz w:val="24"/>
          <w:szCs w:val="24"/>
          <w:vertAlign w:val="superscript"/>
        </w:rPr>
        <w:footnoteReference w:id="2"/>
      </w:r>
      <w:r w:rsidRPr="001112F1">
        <w:rPr>
          <w:rFonts w:ascii="Times New Roman" w:eastAsia="Cambria" w:hAnsi="Times New Roman" w:cs="Times New Roman"/>
          <w:color w:val="000000"/>
          <w:sz w:val="24"/>
          <w:szCs w:val="24"/>
        </w:rPr>
        <w:t xml:space="preserve"> </w:t>
      </w:r>
    </w:p>
    <w:p w:rsidR="001819E3" w:rsidRDefault="001819E3">
      <w:pPr>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w:t>
      </w:r>
      <w:r w:rsidR="00601353">
        <w:rPr>
          <w:rFonts w:ascii="Times New Roman" w:hAnsi="Times New Roman" w:cs="Times New Roman"/>
          <w:b/>
          <w:color w:val="FF0000"/>
          <w:sz w:val="24"/>
          <w:szCs w:val="24"/>
        </w:rPr>
        <w:t>SS</w:t>
      </w:r>
      <w:r w:rsidR="006C3E4E">
        <w:rPr>
          <w:rFonts w:ascii="Times New Roman" w:hAnsi="Times New Roman" w:cs="Times New Roman"/>
          <w:b/>
          <w:color w:val="FF0000"/>
          <w:sz w:val="24"/>
          <w:szCs w:val="24"/>
        </w:rPr>
        <w:t>1</w:t>
      </w:r>
      <w:r w:rsidR="00B4665D" w:rsidRPr="006C169E">
        <w:rPr>
          <w:rFonts w:ascii="Times New Roman" w:hAnsi="Times New Roman" w:cs="Times New Roman"/>
          <w:b/>
          <w:color w:val="FF0000"/>
          <w:sz w:val="24"/>
          <w:szCs w:val="24"/>
        </w:rPr>
        <w:t>.</w:t>
      </w:r>
      <w:proofErr w:type="gramEnd"/>
    </w:p>
    <w:p w:rsidR="009F1C39" w:rsidRPr="0068429E" w:rsidRDefault="009F1C39" w:rsidP="009F1C39">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SS</w:t>
      </w:r>
      <w:r w:rsidRPr="00672F2E">
        <w:rPr>
          <w:rFonts w:ascii="Times New Roman" w:hAnsi="Times New Roman" w:cs="Times New Roman"/>
          <w:b/>
          <w:sz w:val="24"/>
          <w:szCs w:val="24"/>
        </w:rPr>
        <w:t>1 competenc</w:t>
      </w:r>
      <w:r>
        <w:rPr>
          <w:rFonts w:ascii="Times New Roman" w:hAnsi="Times New Roman" w:cs="Times New Roman"/>
          <w:b/>
          <w:sz w:val="24"/>
          <w:szCs w:val="24"/>
        </w:rPr>
        <w:t xml:space="preserve">ies, </w:t>
      </w:r>
      <w:r>
        <w:rPr>
          <w:rFonts w:ascii="Times New Roman" w:hAnsi="Times New Roman" w:cs="Times New Roman"/>
          <w:b/>
          <w:i/>
          <w:sz w:val="24"/>
          <w:szCs w:val="24"/>
          <w:u w:val="single"/>
        </w:rPr>
        <w:t xml:space="preserve">Critical </w:t>
      </w:r>
      <w:r w:rsidRPr="009F1C39">
        <w:rPr>
          <w:rFonts w:ascii="Times New Roman" w:hAnsi="Times New Roman" w:cs="Times New Roman"/>
          <w:b/>
          <w:i/>
          <w:sz w:val="24"/>
          <w:szCs w:val="24"/>
          <w:u w:val="single"/>
        </w:rPr>
        <w:t>Thinking</w:t>
      </w:r>
      <w:r>
        <w:rPr>
          <w:rFonts w:ascii="Times New Roman" w:hAnsi="Times New Roman" w:cs="Times New Roman"/>
          <w:b/>
          <w:i/>
          <w:sz w:val="24"/>
          <w:szCs w:val="24"/>
        </w:rPr>
        <w:t xml:space="preserve"> </w:t>
      </w:r>
      <w:r w:rsidRPr="009F1C39">
        <w:rPr>
          <w:rFonts w:ascii="Times New Roman" w:hAnsi="Times New Roman" w:cs="Times New Roman"/>
          <w:b/>
          <w:sz w:val="24"/>
          <w:szCs w:val="24"/>
        </w:rPr>
        <w:t>and</w:t>
      </w:r>
      <w:r w:rsidRPr="00672F2E">
        <w:rPr>
          <w:rFonts w:ascii="Times New Roman" w:hAnsi="Times New Roman" w:cs="Times New Roman"/>
          <w:b/>
          <w:sz w:val="24"/>
          <w:szCs w:val="24"/>
        </w:rPr>
        <w:t xml:space="preserve"> </w:t>
      </w:r>
      <w:r>
        <w:rPr>
          <w:rFonts w:ascii="Times New Roman" w:hAnsi="Times New Roman" w:cs="Times New Roman"/>
          <w:b/>
          <w:i/>
          <w:sz w:val="24"/>
          <w:szCs w:val="24"/>
          <w:u w:val="single"/>
        </w:rPr>
        <w:t>Civic Engagement</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SLOs in each instructor’s syllabus:</w:t>
      </w:r>
    </w:p>
    <w:p w:rsidR="00662BFD" w:rsidRPr="00601353" w:rsidRDefault="00DD0FEC" w:rsidP="00662BFD">
      <w:pPr>
        <w:widowControl w:val="0"/>
        <w:tabs>
          <w:tab w:val="left" w:pos="360"/>
        </w:tabs>
        <w:spacing w:after="240" w:line="240" w:lineRule="auto"/>
        <w:rPr>
          <w:rFonts w:ascii="Times New Roman" w:eastAsia="Times New Roman" w:hAnsi="Times New Roman" w:cs="Times New Roman"/>
          <w:b/>
          <w:i/>
          <w:color w:val="000000"/>
          <w:sz w:val="24"/>
          <w:szCs w:val="24"/>
        </w:rPr>
      </w:pPr>
      <w:hyperlink r:id="rId9" w:history="1">
        <w:r w:rsidR="00601353" w:rsidRPr="00C017F5">
          <w:rPr>
            <w:rStyle w:val="Hyperlink"/>
            <w:rFonts w:ascii="Times New Roman" w:eastAsia="Times New Roman" w:hAnsi="Times New Roman" w:cs="Times New Roman"/>
            <w:b/>
            <w:i/>
            <w:sz w:val="24"/>
            <w:szCs w:val="24"/>
          </w:rPr>
          <w:t>Critical Thinking</w:t>
        </w:r>
      </w:hyperlink>
      <w:r w:rsidR="00662BFD">
        <w:rPr>
          <w:rFonts w:ascii="Times New Roman" w:eastAsia="Times New Roman" w:hAnsi="Times New Roman" w:cs="Times New Roman"/>
          <w:b/>
          <w:i/>
          <w:color w:val="000000"/>
          <w:sz w:val="24"/>
          <w:szCs w:val="24"/>
        </w:rPr>
        <w:t>:</w:t>
      </w:r>
    </w:p>
    <w:p w:rsidR="00601353" w:rsidRPr="00601353" w:rsidRDefault="00601353" w:rsidP="00601353">
      <w:pPr>
        <w:widowControl w:val="0"/>
        <w:numPr>
          <w:ilvl w:val="0"/>
          <w:numId w:val="25"/>
        </w:numPr>
        <w:spacing w:before="120" w:after="120" w:line="240" w:lineRule="auto"/>
        <w:rPr>
          <w:rFonts w:ascii="Times New Roman" w:eastAsia="Times New Roman" w:hAnsi="Times New Roman" w:cs="Times New Roman"/>
          <w:b/>
          <w:color w:val="000000"/>
          <w:sz w:val="24"/>
          <w:szCs w:val="24"/>
        </w:rPr>
      </w:pPr>
      <w:r w:rsidRPr="00601353">
        <w:rPr>
          <w:rFonts w:ascii="Times New Roman" w:eastAsia="Times New Roman" w:hAnsi="Times New Roman" w:cs="Times New Roman"/>
          <w:b/>
          <w:color w:val="000000"/>
          <w:sz w:val="24"/>
          <w:szCs w:val="24"/>
          <w:u w:val="single"/>
        </w:rPr>
        <w:t>Explain an Issue (required for GT-SS1)</w:t>
      </w:r>
    </w:p>
    <w:p w:rsidR="00601353" w:rsidRPr="00601353" w:rsidRDefault="00601353" w:rsidP="00601353">
      <w:pPr>
        <w:widowControl w:val="0"/>
        <w:numPr>
          <w:ilvl w:val="0"/>
          <w:numId w:val="24"/>
        </w:numPr>
        <w:spacing w:after="240" w:line="240" w:lineRule="auto"/>
        <w:ind w:left="1080" w:hanging="360"/>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Use information to describe a problem or issue and/or articulate a question related to the topic.</w:t>
      </w:r>
    </w:p>
    <w:p w:rsidR="00601353" w:rsidRPr="00601353" w:rsidRDefault="00601353" w:rsidP="00601353">
      <w:pPr>
        <w:widowControl w:val="0"/>
        <w:numPr>
          <w:ilvl w:val="0"/>
          <w:numId w:val="25"/>
        </w:numPr>
        <w:spacing w:before="120" w:after="120" w:line="240" w:lineRule="auto"/>
        <w:rPr>
          <w:rFonts w:ascii="Times New Roman" w:eastAsia="Times New Roman" w:hAnsi="Times New Roman" w:cs="Times New Roman"/>
          <w:b/>
          <w:color w:val="000000"/>
          <w:sz w:val="24"/>
          <w:szCs w:val="24"/>
        </w:rPr>
      </w:pPr>
      <w:r w:rsidRPr="00601353">
        <w:rPr>
          <w:rFonts w:ascii="Times New Roman" w:eastAsia="Times New Roman" w:hAnsi="Times New Roman" w:cs="Times New Roman"/>
          <w:b/>
          <w:color w:val="000000"/>
          <w:sz w:val="24"/>
          <w:szCs w:val="24"/>
          <w:u w:val="single"/>
        </w:rPr>
        <w:t>Utilize Context (required for GT-SS1)</w:t>
      </w:r>
    </w:p>
    <w:p w:rsidR="00601353" w:rsidRP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Evaluate the relevance of context when presenting a position.</w:t>
      </w:r>
    </w:p>
    <w:p w:rsid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Identify assumptions.</w:t>
      </w:r>
    </w:p>
    <w:p w:rsidR="00601353" w:rsidRP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Analyze one’s own and others’ assumptions.</w:t>
      </w:r>
    </w:p>
    <w:p w:rsidR="00601353" w:rsidRPr="00601353" w:rsidRDefault="00601353" w:rsidP="00402321">
      <w:pPr>
        <w:pStyle w:val="Normal1"/>
        <w:numPr>
          <w:ilvl w:val="0"/>
          <w:numId w:val="30"/>
        </w:numPr>
        <w:spacing w:before="120" w:after="120" w:line="240" w:lineRule="auto"/>
        <w:rPr>
          <w:b/>
          <w:szCs w:val="24"/>
        </w:rPr>
      </w:pPr>
      <w:r w:rsidRPr="00601353">
        <w:rPr>
          <w:b/>
          <w:szCs w:val="24"/>
          <w:u w:val="single"/>
        </w:rPr>
        <w:t>Understand Implications and Make Conclusions (required for GT-SS1)</w:t>
      </w:r>
    </w:p>
    <w:p w:rsidR="00C017F5" w:rsidRDefault="00601353" w:rsidP="00C017F5">
      <w:pPr>
        <w:widowControl w:val="0"/>
        <w:numPr>
          <w:ilvl w:val="0"/>
          <w:numId w:val="27"/>
        </w:numPr>
        <w:spacing w:before="120" w:after="240" w:line="240" w:lineRule="auto"/>
        <w:ind w:left="1080" w:right="86" w:hanging="360"/>
        <w:contextualSpacing/>
        <w:rPr>
          <w:rFonts w:ascii="Times New Roman" w:eastAsia="Times New Roman" w:hAnsi="Times New Roman" w:cs="Times New Roman"/>
          <w:color w:val="000000"/>
          <w:sz w:val="24"/>
          <w:szCs w:val="24"/>
        </w:rPr>
      </w:pPr>
      <w:r w:rsidRPr="00C017F5">
        <w:rPr>
          <w:rFonts w:ascii="Times New Roman" w:eastAsia="Times New Roman" w:hAnsi="Times New Roman" w:cs="Times New Roman"/>
          <w:color w:val="000000"/>
          <w:sz w:val="24"/>
          <w:szCs w:val="24"/>
        </w:rPr>
        <w:t>Establish a conclusion that is tied to the range of information presented.</w:t>
      </w:r>
      <w:bookmarkStart w:id="0" w:name="h.74te5xsqjij7" w:colFirst="0" w:colLast="0"/>
      <w:bookmarkEnd w:id="0"/>
    </w:p>
    <w:p w:rsidR="00DC7D18" w:rsidRPr="00C017F5" w:rsidRDefault="00601353" w:rsidP="00C017F5">
      <w:pPr>
        <w:widowControl w:val="0"/>
        <w:numPr>
          <w:ilvl w:val="0"/>
          <w:numId w:val="27"/>
        </w:numPr>
        <w:spacing w:before="120" w:after="240" w:line="240" w:lineRule="auto"/>
        <w:ind w:left="1080" w:right="86" w:hanging="360"/>
        <w:rPr>
          <w:rFonts w:ascii="Times New Roman" w:eastAsia="Times New Roman" w:hAnsi="Times New Roman" w:cs="Times New Roman"/>
          <w:color w:val="000000"/>
          <w:sz w:val="24"/>
          <w:szCs w:val="24"/>
        </w:rPr>
      </w:pPr>
      <w:r w:rsidRPr="00C017F5">
        <w:rPr>
          <w:rFonts w:ascii="Times New Roman" w:eastAsia="Times New Roman" w:hAnsi="Times New Roman" w:cs="Times New Roman"/>
          <w:color w:val="000000"/>
          <w:sz w:val="24"/>
          <w:szCs w:val="24"/>
        </w:rPr>
        <w:t>Reflect on implications and consequences of stated conclusion.</w:t>
      </w:r>
      <w:r w:rsidR="00DC7D18" w:rsidRPr="00C017F5">
        <w:rPr>
          <w:rFonts w:ascii="Times New Roman" w:eastAsia="Times New Roman" w:hAnsi="Times New Roman" w:cs="Times New Roman"/>
          <w:color w:val="000000"/>
          <w:sz w:val="24"/>
          <w:szCs w:val="24"/>
        </w:rPr>
        <w:t xml:space="preserve"> </w:t>
      </w:r>
    </w:p>
    <w:p w:rsidR="00662BFD" w:rsidRPr="00697093" w:rsidRDefault="00DD0FEC" w:rsidP="00662BFD">
      <w:pPr>
        <w:widowControl w:val="0"/>
        <w:tabs>
          <w:tab w:val="left" w:pos="360"/>
        </w:tabs>
        <w:spacing w:after="240" w:line="240" w:lineRule="auto"/>
        <w:rPr>
          <w:rFonts w:ascii="Times New Roman" w:eastAsia="Times New Roman" w:hAnsi="Times New Roman" w:cs="Times New Roman"/>
          <w:b/>
          <w:i/>
          <w:color w:val="000000"/>
          <w:sz w:val="24"/>
          <w:szCs w:val="24"/>
        </w:rPr>
      </w:pPr>
      <w:hyperlink r:id="rId10" w:history="1">
        <w:r w:rsidR="00DC7D18" w:rsidRPr="00697093">
          <w:rPr>
            <w:rStyle w:val="Hyperlink"/>
            <w:rFonts w:ascii="Times New Roman" w:eastAsia="Times New Roman" w:hAnsi="Times New Roman" w:cs="Times New Roman"/>
            <w:b/>
            <w:i/>
            <w:sz w:val="24"/>
            <w:szCs w:val="24"/>
          </w:rPr>
          <w:t>Civic Engagement</w:t>
        </w:r>
      </w:hyperlink>
      <w:r w:rsidR="00662BFD" w:rsidRPr="00697093">
        <w:rPr>
          <w:rFonts w:ascii="Times New Roman" w:eastAsia="Times New Roman" w:hAnsi="Times New Roman" w:cs="Times New Roman"/>
          <w:b/>
          <w:bCs/>
          <w:i/>
          <w:color w:val="000000"/>
          <w:sz w:val="24"/>
          <w:szCs w:val="24"/>
        </w:rPr>
        <w:t>:</w:t>
      </w:r>
    </w:p>
    <w:p w:rsidR="00C017F5" w:rsidRPr="00C017F5" w:rsidRDefault="00C017F5" w:rsidP="00C017F5">
      <w:pPr>
        <w:widowControl w:val="0"/>
        <w:numPr>
          <w:ilvl w:val="0"/>
          <w:numId w:val="28"/>
        </w:numPr>
        <w:spacing w:before="120" w:after="120" w:line="240" w:lineRule="auto"/>
        <w:rPr>
          <w:rFonts w:ascii="Times New Roman" w:eastAsia="Times New Roman" w:hAnsi="Times New Roman" w:cs="Times New Roman"/>
          <w:b/>
          <w:sz w:val="24"/>
          <w:szCs w:val="24"/>
        </w:rPr>
      </w:pPr>
      <w:r w:rsidRPr="00C017F5">
        <w:rPr>
          <w:rFonts w:ascii="Times New Roman" w:eastAsia="Times New Roman" w:hAnsi="Times New Roman" w:cs="Times New Roman"/>
          <w:b/>
          <w:sz w:val="24"/>
          <w:szCs w:val="24"/>
          <w:u w:val="single"/>
        </w:rPr>
        <w:t xml:space="preserve">Civic Knowledge (required for GT-SS1)  </w:t>
      </w:r>
    </w:p>
    <w:p w:rsidR="00C017F5" w:rsidRDefault="00C017F5" w:rsidP="00C017F5">
      <w:pPr>
        <w:widowControl w:val="0"/>
        <w:numPr>
          <w:ilvl w:val="0"/>
          <w:numId w:val="29"/>
        </w:numPr>
        <w:spacing w:before="120" w:after="360" w:line="240" w:lineRule="auto"/>
        <w:rPr>
          <w:rFonts w:ascii="Times New Roman" w:eastAsia="Times New Roman" w:hAnsi="Times New Roman" w:cs="Times New Roman"/>
          <w:sz w:val="24"/>
          <w:szCs w:val="24"/>
        </w:rPr>
      </w:pPr>
      <w:r w:rsidRPr="00C017F5">
        <w:rPr>
          <w:rFonts w:ascii="Times New Roman" w:eastAsia="Times New Roman" w:hAnsi="Times New Roman" w:cs="Times New Roman"/>
          <w:sz w:val="24"/>
          <w:szCs w:val="24"/>
        </w:rPr>
        <w:t>Connect disciplinary knowledge to civic engagement through one’s own participation in civic life, politics, and/or government.</w:t>
      </w:r>
    </w:p>
    <w:p w:rsidR="009F1C39" w:rsidRDefault="009F1C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A2348" w:rsidRDefault="00FA2348" w:rsidP="00FA2348">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DD0FEC">
        <w:rPr>
          <w:rFonts w:ascii="Times New Roman" w:hAnsi="Times New Roman" w:cs="Times New Roman"/>
          <w:b/>
          <w:color w:val="FF0000"/>
          <w:sz w:val="24"/>
          <w:szCs w:val="24"/>
        </w:rPr>
        <w:t>SS</w:t>
      </w:r>
      <w:bookmarkStart w:id="1" w:name="_GoBack"/>
      <w:bookmarkEnd w:id="1"/>
      <w:r>
        <w:rPr>
          <w:rFonts w:ascii="Times New Roman" w:hAnsi="Times New Roman" w:cs="Times New Roman"/>
          <w:b/>
          <w:color w:val="FF0000"/>
          <w:sz w:val="24"/>
          <w:szCs w:val="24"/>
        </w:rPr>
        <w:t>1</w:t>
      </w:r>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FA2348" w:rsidRPr="00E04E5A" w:rsidRDefault="00FA2348" w:rsidP="00FA2348">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FA2348" w:rsidRPr="009C0FE6" w:rsidTr="00687532">
        <w:tc>
          <w:tcPr>
            <w:tcW w:w="2086" w:type="dxa"/>
            <w:tcBorders>
              <w:bottom w:val="single" w:sz="18" w:space="0" w:color="auto"/>
            </w:tcBorders>
          </w:tcPr>
          <w:p w:rsidR="00FA2348" w:rsidRPr="009C0FE6" w:rsidRDefault="00FA2348"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FA2348" w:rsidRPr="009C0FE6" w:rsidRDefault="00FA2348"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FA2348" w:rsidRDefault="00FA2348"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FA2348" w:rsidRPr="009C0FE6" w:rsidRDefault="00FA2348"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FA2348" w:rsidTr="00687532">
        <w:tc>
          <w:tcPr>
            <w:tcW w:w="2086" w:type="dxa"/>
            <w:tcBorders>
              <w:top w:val="single" w:sz="18" w:space="0" w:color="auto"/>
            </w:tcBorders>
          </w:tcPr>
          <w:p w:rsidR="00FA2348" w:rsidRDefault="00FA2348"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FA2348" w:rsidRDefault="00FA2348"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FA2348" w:rsidRDefault="00FA2348"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FA2348" w:rsidRDefault="00FA2348" w:rsidP="00687532">
            <w:pPr>
              <w:spacing w:line="480" w:lineRule="auto"/>
              <w:rPr>
                <w:rFonts w:ascii="Times New Roman" w:hAnsi="Times New Roman" w:cs="Times New Roman"/>
                <w:sz w:val="24"/>
                <w:szCs w:val="24"/>
              </w:rPr>
            </w:pPr>
          </w:p>
        </w:tc>
      </w:tr>
      <w:tr w:rsidR="00FA2348" w:rsidTr="00687532">
        <w:tc>
          <w:tcPr>
            <w:tcW w:w="2086" w:type="dxa"/>
          </w:tcPr>
          <w:p w:rsidR="00FA2348" w:rsidRDefault="00FA2348" w:rsidP="00687532">
            <w:pPr>
              <w:spacing w:line="480" w:lineRule="auto"/>
              <w:rPr>
                <w:rFonts w:ascii="Times New Roman" w:hAnsi="Times New Roman" w:cs="Times New Roman"/>
                <w:sz w:val="24"/>
                <w:szCs w:val="24"/>
              </w:rPr>
            </w:pPr>
          </w:p>
        </w:tc>
        <w:tc>
          <w:tcPr>
            <w:tcW w:w="3582" w:type="dxa"/>
          </w:tcPr>
          <w:p w:rsidR="00FA2348" w:rsidRDefault="00FA2348" w:rsidP="00687532">
            <w:pPr>
              <w:spacing w:line="480" w:lineRule="auto"/>
              <w:rPr>
                <w:rFonts w:ascii="Times New Roman" w:hAnsi="Times New Roman" w:cs="Times New Roman"/>
                <w:sz w:val="24"/>
                <w:szCs w:val="24"/>
              </w:rPr>
            </w:pPr>
          </w:p>
        </w:tc>
        <w:tc>
          <w:tcPr>
            <w:tcW w:w="1992" w:type="dxa"/>
          </w:tcPr>
          <w:p w:rsidR="00FA2348" w:rsidRDefault="00FA2348" w:rsidP="00687532">
            <w:pPr>
              <w:spacing w:line="480" w:lineRule="auto"/>
              <w:rPr>
                <w:rFonts w:ascii="Times New Roman" w:hAnsi="Times New Roman" w:cs="Times New Roman"/>
                <w:sz w:val="24"/>
                <w:szCs w:val="24"/>
              </w:rPr>
            </w:pPr>
          </w:p>
        </w:tc>
        <w:tc>
          <w:tcPr>
            <w:tcW w:w="2348" w:type="dxa"/>
          </w:tcPr>
          <w:p w:rsidR="00FA2348" w:rsidRDefault="00FA2348" w:rsidP="00687532">
            <w:pPr>
              <w:spacing w:line="480" w:lineRule="auto"/>
              <w:rPr>
                <w:rFonts w:ascii="Times New Roman" w:hAnsi="Times New Roman" w:cs="Times New Roman"/>
                <w:sz w:val="24"/>
                <w:szCs w:val="24"/>
              </w:rPr>
            </w:pPr>
          </w:p>
        </w:tc>
      </w:tr>
      <w:tr w:rsidR="00FA2348" w:rsidTr="00687532">
        <w:tc>
          <w:tcPr>
            <w:tcW w:w="2086" w:type="dxa"/>
          </w:tcPr>
          <w:p w:rsidR="00FA2348" w:rsidRDefault="00FA2348" w:rsidP="00687532">
            <w:pPr>
              <w:spacing w:line="480" w:lineRule="auto"/>
              <w:rPr>
                <w:rFonts w:ascii="Times New Roman" w:hAnsi="Times New Roman" w:cs="Times New Roman"/>
                <w:sz w:val="24"/>
                <w:szCs w:val="24"/>
              </w:rPr>
            </w:pPr>
          </w:p>
        </w:tc>
        <w:tc>
          <w:tcPr>
            <w:tcW w:w="3582" w:type="dxa"/>
          </w:tcPr>
          <w:p w:rsidR="00FA2348" w:rsidRDefault="00FA2348" w:rsidP="00687532">
            <w:pPr>
              <w:spacing w:line="480" w:lineRule="auto"/>
              <w:rPr>
                <w:rFonts w:ascii="Times New Roman" w:hAnsi="Times New Roman" w:cs="Times New Roman"/>
                <w:sz w:val="24"/>
                <w:szCs w:val="24"/>
              </w:rPr>
            </w:pPr>
          </w:p>
        </w:tc>
        <w:tc>
          <w:tcPr>
            <w:tcW w:w="1992" w:type="dxa"/>
          </w:tcPr>
          <w:p w:rsidR="00FA2348" w:rsidRDefault="00FA2348" w:rsidP="00687532">
            <w:pPr>
              <w:spacing w:line="480" w:lineRule="auto"/>
              <w:rPr>
                <w:rFonts w:ascii="Times New Roman" w:hAnsi="Times New Roman" w:cs="Times New Roman"/>
                <w:sz w:val="24"/>
                <w:szCs w:val="24"/>
              </w:rPr>
            </w:pPr>
          </w:p>
        </w:tc>
        <w:tc>
          <w:tcPr>
            <w:tcW w:w="2348" w:type="dxa"/>
          </w:tcPr>
          <w:p w:rsidR="00FA2348" w:rsidRDefault="00FA2348" w:rsidP="00687532">
            <w:pPr>
              <w:spacing w:line="480" w:lineRule="auto"/>
              <w:rPr>
                <w:rFonts w:ascii="Times New Roman" w:hAnsi="Times New Roman" w:cs="Times New Roman"/>
                <w:sz w:val="24"/>
                <w:szCs w:val="24"/>
              </w:rPr>
            </w:pPr>
          </w:p>
        </w:tc>
      </w:tr>
      <w:tr w:rsidR="00FA2348" w:rsidTr="00687532">
        <w:tc>
          <w:tcPr>
            <w:tcW w:w="2086" w:type="dxa"/>
          </w:tcPr>
          <w:p w:rsidR="00FA2348" w:rsidRDefault="00FA2348" w:rsidP="00687532">
            <w:pPr>
              <w:spacing w:line="480" w:lineRule="auto"/>
              <w:rPr>
                <w:rFonts w:ascii="Times New Roman" w:hAnsi="Times New Roman" w:cs="Times New Roman"/>
                <w:sz w:val="24"/>
                <w:szCs w:val="24"/>
              </w:rPr>
            </w:pPr>
          </w:p>
        </w:tc>
        <w:tc>
          <w:tcPr>
            <w:tcW w:w="3582" w:type="dxa"/>
          </w:tcPr>
          <w:p w:rsidR="00FA2348" w:rsidRDefault="00FA2348" w:rsidP="00687532">
            <w:pPr>
              <w:spacing w:line="480" w:lineRule="auto"/>
              <w:rPr>
                <w:rFonts w:ascii="Times New Roman" w:hAnsi="Times New Roman" w:cs="Times New Roman"/>
                <w:sz w:val="24"/>
                <w:szCs w:val="24"/>
              </w:rPr>
            </w:pPr>
          </w:p>
        </w:tc>
        <w:tc>
          <w:tcPr>
            <w:tcW w:w="1992" w:type="dxa"/>
          </w:tcPr>
          <w:p w:rsidR="00FA2348" w:rsidRDefault="00FA2348" w:rsidP="00687532">
            <w:pPr>
              <w:spacing w:line="480" w:lineRule="auto"/>
              <w:rPr>
                <w:rFonts w:ascii="Times New Roman" w:hAnsi="Times New Roman" w:cs="Times New Roman"/>
                <w:sz w:val="24"/>
                <w:szCs w:val="24"/>
              </w:rPr>
            </w:pPr>
          </w:p>
        </w:tc>
        <w:tc>
          <w:tcPr>
            <w:tcW w:w="2348" w:type="dxa"/>
          </w:tcPr>
          <w:p w:rsidR="00FA2348" w:rsidRDefault="00FA2348" w:rsidP="00687532">
            <w:pPr>
              <w:spacing w:line="480" w:lineRule="auto"/>
              <w:rPr>
                <w:rFonts w:ascii="Times New Roman" w:hAnsi="Times New Roman" w:cs="Times New Roman"/>
                <w:sz w:val="24"/>
                <w:szCs w:val="24"/>
              </w:rPr>
            </w:pPr>
          </w:p>
        </w:tc>
      </w:tr>
      <w:tr w:rsidR="00FA2348" w:rsidTr="00687532">
        <w:tc>
          <w:tcPr>
            <w:tcW w:w="2086" w:type="dxa"/>
          </w:tcPr>
          <w:p w:rsidR="00FA2348" w:rsidRDefault="00FA2348" w:rsidP="00687532">
            <w:pPr>
              <w:spacing w:line="480" w:lineRule="auto"/>
              <w:rPr>
                <w:rFonts w:ascii="Times New Roman" w:hAnsi="Times New Roman" w:cs="Times New Roman"/>
                <w:sz w:val="24"/>
                <w:szCs w:val="24"/>
              </w:rPr>
            </w:pPr>
          </w:p>
        </w:tc>
        <w:tc>
          <w:tcPr>
            <w:tcW w:w="3582" w:type="dxa"/>
          </w:tcPr>
          <w:p w:rsidR="00FA2348" w:rsidRDefault="00FA2348" w:rsidP="00687532">
            <w:pPr>
              <w:spacing w:line="480" w:lineRule="auto"/>
              <w:rPr>
                <w:rFonts w:ascii="Times New Roman" w:hAnsi="Times New Roman" w:cs="Times New Roman"/>
                <w:sz w:val="24"/>
                <w:szCs w:val="24"/>
              </w:rPr>
            </w:pPr>
          </w:p>
        </w:tc>
        <w:tc>
          <w:tcPr>
            <w:tcW w:w="1992" w:type="dxa"/>
          </w:tcPr>
          <w:p w:rsidR="00FA2348" w:rsidRDefault="00FA2348" w:rsidP="00687532">
            <w:pPr>
              <w:spacing w:line="480" w:lineRule="auto"/>
              <w:rPr>
                <w:rFonts w:ascii="Times New Roman" w:hAnsi="Times New Roman" w:cs="Times New Roman"/>
                <w:sz w:val="24"/>
                <w:szCs w:val="24"/>
              </w:rPr>
            </w:pPr>
          </w:p>
        </w:tc>
        <w:tc>
          <w:tcPr>
            <w:tcW w:w="2348" w:type="dxa"/>
          </w:tcPr>
          <w:p w:rsidR="00FA2348" w:rsidRDefault="00FA2348" w:rsidP="00687532">
            <w:pPr>
              <w:spacing w:line="480" w:lineRule="auto"/>
              <w:rPr>
                <w:rFonts w:ascii="Times New Roman" w:hAnsi="Times New Roman" w:cs="Times New Roman"/>
                <w:sz w:val="24"/>
                <w:szCs w:val="24"/>
              </w:rPr>
            </w:pPr>
          </w:p>
        </w:tc>
      </w:tr>
      <w:tr w:rsidR="00FA2348" w:rsidTr="00687532">
        <w:tc>
          <w:tcPr>
            <w:tcW w:w="2086" w:type="dxa"/>
          </w:tcPr>
          <w:p w:rsidR="00FA2348" w:rsidRDefault="00FA2348" w:rsidP="00687532">
            <w:pPr>
              <w:spacing w:line="480" w:lineRule="auto"/>
              <w:rPr>
                <w:rFonts w:ascii="Times New Roman" w:hAnsi="Times New Roman" w:cs="Times New Roman"/>
                <w:sz w:val="24"/>
                <w:szCs w:val="24"/>
              </w:rPr>
            </w:pPr>
          </w:p>
        </w:tc>
        <w:tc>
          <w:tcPr>
            <w:tcW w:w="3582" w:type="dxa"/>
          </w:tcPr>
          <w:p w:rsidR="00FA2348" w:rsidRDefault="00FA2348" w:rsidP="00687532">
            <w:pPr>
              <w:spacing w:line="480" w:lineRule="auto"/>
              <w:rPr>
                <w:rFonts w:ascii="Times New Roman" w:hAnsi="Times New Roman" w:cs="Times New Roman"/>
                <w:sz w:val="24"/>
                <w:szCs w:val="24"/>
              </w:rPr>
            </w:pPr>
          </w:p>
        </w:tc>
        <w:tc>
          <w:tcPr>
            <w:tcW w:w="1992" w:type="dxa"/>
          </w:tcPr>
          <w:p w:rsidR="00FA2348" w:rsidRDefault="00FA2348" w:rsidP="00687532">
            <w:pPr>
              <w:spacing w:line="480" w:lineRule="auto"/>
              <w:rPr>
                <w:rFonts w:ascii="Times New Roman" w:hAnsi="Times New Roman" w:cs="Times New Roman"/>
                <w:sz w:val="24"/>
                <w:szCs w:val="24"/>
              </w:rPr>
            </w:pPr>
          </w:p>
        </w:tc>
        <w:tc>
          <w:tcPr>
            <w:tcW w:w="2348" w:type="dxa"/>
          </w:tcPr>
          <w:p w:rsidR="00FA2348" w:rsidRDefault="00FA2348" w:rsidP="00687532">
            <w:pPr>
              <w:spacing w:line="480" w:lineRule="auto"/>
              <w:rPr>
                <w:rFonts w:ascii="Times New Roman" w:hAnsi="Times New Roman" w:cs="Times New Roman"/>
                <w:sz w:val="24"/>
                <w:szCs w:val="24"/>
              </w:rPr>
            </w:pPr>
          </w:p>
        </w:tc>
      </w:tr>
    </w:tbl>
    <w:p w:rsidR="00FA2348" w:rsidRDefault="00FA2348" w:rsidP="00FA2348">
      <w:pPr>
        <w:spacing w:after="240"/>
        <w:rPr>
          <w:rFonts w:ascii="Times New Roman" w:hAnsi="Times New Roman" w:cs="Times New Roman"/>
          <w:b/>
          <w:sz w:val="24"/>
          <w:szCs w:val="24"/>
        </w:rPr>
      </w:pPr>
    </w:p>
    <w:p w:rsidR="00FA2348" w:rsidRDefault="00FA2348" w:rsidP="00FA2348">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FA2348" w:rsidRDefault="00FA2348" w:rsidP="00FA234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FA2348" w:rsidRDefault="00FA2348" w:rsidP="00FA2348">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A2348" w:rsidRDefault="00FA2348" w:rsidP="00FA2348">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FA2348" w:rsidRDefault="00FA2348" w:rsidP="00FA23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FA2348" w:rsidRDefault="00FA2348" w:rsidP="00FA23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FA2348" w:rsidRDefault="00FA2348" w:rsidP="00FA2348">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FA2348" w:rsidRDefault="00FA2348" w:rsidP="00FA23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FA2348" w:rsidRPr="006C169E" w:rsidRDefault="00FA2348" w:rsidP="00FA2348">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1"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FA2348" w:rsidRDefault="00FA2348" w:rsidP="00FA2348">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A2348" w:rsidRDefault="00FA2348" w:rsidP="00FA23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FA2348" w:rsidRDefault="00FA2348" w:rsidP="00FA2348">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A2348" w:rsidRPr="004C6A8F" w:rsidRDefault="00FA2348" w:rsidP="00FA23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FA2348" w:rsidRDefault="00FA2348" w:rsidP="00FA2348">
      <w:pPr>
        <w:rPr>
          <w:rFonts w:ascii="Times New Roman" w:hAnsi="Times New Roman" w:cs="Times New Roman"/>
          <w:sz w:val="24"/>
          <w:szCs w:val="24"/>
        </w:rPr>
      </w:pPr>
    </w:p>
    <w:p w:rsidR="00A01688" w:rsidRPr="001261D5" w:rsidRDefault="00FA2348" w:rsidP="00FA2348">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2"/>
      <w:headerReference w:type="first" r:id="rId13"/>
      <w:footerReference w:type="first" r:id="rId14"/>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E1" w:rsidRDefault="00DF04E1" w:rsidP="00EA585C">
      <w:pPr>
        <w:spacing w:after="0" w:line="240" w:lineRule="auto"/>
      </w:pPr>
      <w:r>
        <w:separator/>
      </w:r>
    </w:p>
  </w:endnote>
  <w:endnote w:type="continuationSeparator" w:id="0">
    <w:p w:rsidR="00DF04E1" w:rsidRDefault="00DF04E1"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DF04E1" w:rsidRPr="00010C27" w:rsidRDefault="00DF04E1"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S&amp;BS</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SS1</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DD0FEC">
              <w:rPr>
                <w:rFonts w:ascii="Times New Roman" w:hAnsi="Times New Roman" w:cs="Times New Roman"/>
                <w:noProof/>
                <w:sz w:val="20"/>
                <w:szCs w:val="20"/>
              </w:rPr>
              <w:t>4</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DD0FEC">
              <w:rPr>
                <w:rFonts w:ascii="Times New Roman" w:hAnsi="Times New Roman" w:cs="Times New Roman"/>
                <w:noProof/>
                <w:sz w:val="20"/>
                <w:szCs w:val="20"/>
              </w:rPr>
              <w:t>5</w:t>
            </w:r>
            <w:r w:rsidRPr="00010C27">
              <w:rPr>
                <w:rFonts w:ascii="Times New Roman" w:hAnsi="Times New Roman" w:cs="Times New Roman"/>
                <w:sz w:val="20"/>
                <w:szCs w:val="20"/>
              </w:rPr>
              <w:fldChar w:fldCharType="end"/>
            </w:r>
          </w:p>
          <w:p w:rsidR="00DF04E1" w:rsidRPr="00010C27" w:rsidRDefault="00DF04E1"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Revised:  201</w:t>
            </w:r>
            <w:r w:rsidR="00FA2348">
              <w:rPr>
                <w:rFonts w:ascii="Times New Roman" w:hAnsi="Times New Roman" w:cs="Times New Roman"/>
                <w:sz w:val="20"/>
                <w:szCs w:val="20"/>
              </w:rPr>
              <w:t>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DF04E1" w:rsidRDefault="00DF04E1" w:rsidP="000F6E94">
        <w:pPr>
          <w:spacing w:after="120"/>
          <w:ind w:left="-720"/>
          <w:jc w:val="center"/>
        </w:pPr>
        <w:r>
          <w:rPr>
            <w:noProof/>
          </w:rPr>
          <w:drawing>
            <wp:anchor distT="0" distB="0" distL="114300" distR="114300" simplePos="0" relativeHeight="251669504" behindDoc="0" locked="0" layoutInCell="1" allowOverlap="1" wp14:anchorId="479F1068" wp14:editId="3C454B3C">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DF04E1" w:rsidRPr="00C77E45" w:rsidRDefault="00DF04E1"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DF04E1" w:rsidRPr="00C77E45" w:rsidRDefault="00DF04E1"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DD0FEC">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DD0FEC">
          <w:rPr>
            <w:rFonts w:ascii="Trebuchet MS" w:hAnsi="Trebuchet MS"/>
            <w:noProof/>
            <w:sz w:val="16"/>
            <w:szCs w:val="16"/>
          </w:rPr>
          <w:t>5</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E1" w:rsidRDefault="00DF04E1" w:rsidP="00EA585C">
      <w:pPr>
        <w:spacing w:after="0" w:line="240" w:lineRule="auto"/>
      </w:pPr>
      <w:r>
        <w:separator/>
      </w:r>
    </w:p>
  </w:footnote>
  <w:footnote w:type="continuationSeparator" w:id="0">
    <w:p w:rsidR="00DF04E1" w:rsidRDefault="00DF04E1" w:rsidP="00EA585C">
      <w:pPr>
        <w:spacing w:after="0" w:line="240" w:lineRule="auto"/>
      </w:pPr>
      <w:r>
        <w:continuationSeparator/>
      </w:r>
    </w:p>
  </w:footnote>
  <w:footnote w:id="1">
    <w:p w:rsidR="00DF04E1" w:rsidRPr="00A92228" w:rsidRDefault="00DF04E1" w:rsidP="001112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0"/>
          <w:szCs w:val="20"/>
        </w:rPr>
      </w:pPr>
      <w:r w:rsidRPr="00A92228">
        <w:rPr>
          <w:rStyle w:val="FootnoteReference"/>
          <w:rFonts w:ascii="Times New Roman" w:hAnsi="Times New Roman" w:cs="Times New Roman"/>
          <w:sz w:val="20"/>
          <w:szCs w:val="20"/>
        </w:rPr>
        <w:footnoteRef/>
      </w:r>
      <w:r w:rsidRPr="00A92228">
        <w:rPr>
          <w:rFonts w:ascii="Times New Roman" w:hAnsi="Times New Roman" w:cs="Times New Roman"/>
          <w:sz w:val="20"/>
          <w:szCs w:val="20"/>
        </w:rPr>
        <w:t xml:space="preserve"> </w:t>
      </w:r>
      <w:proofErr w:type="spellStart"/>
      <w:r w:rsidRPr="00A92228">
        <w:rPr>
          <w:rFonts w:ascii="Times New Roman" w:hAnsi="Times New Roman" w:cs="Times New Roman"/>
          <w:bCs/>
          <w:sz w:val="20"/>
          <w:szCs w:val="20"/>
        </w:rPr>
        <w:t>Gingerich</w:t>
      </w:r>
      <w:proofErr w:type="spellEnd"/>
      <w:r w:rsidRPr="00A92228">
        <w:rPr>
          <w:rFonts w:ascii="Times New Roman" w:hAnsi="Times New Roman" w:cs="Times New Roman"/>
          <w:bCs/>
          <w:sz w:val="20"/>
          <w:szCs w:val="20"/>
        </w:rPr>
        <w:t xml:space="preserve">, Karla, Julie </w:t>
      </w:r>
      <w:proofErr w:type="spellStart"/>
      <w:r w:rsidRPr="00A92228">
        <w:rPr>
          <w:rFonts w:ascii="Times New Roman" w:hAnsi="Times New Roman" w:cs="Times New Roman"/>
          <w:bCs/>
          <w:sz w:val="20"/>
          <w:szCs w:val="20"/>
        </w:rPr>
        <w:t>Bugg</w:t>
      </w:r>
      <w:proofErr w:type="spellEnd"/>
      <w:r w:rsidRPr="00A92228">
        <w:rPr>
          <w:rFonts w:ascii="Times New Roman" w:hAnsi="Times New Roman" w:cs="Times New Roman"/>
          <w:bCs/>
          <w:sz w:val="20"/>
          <w:szCs w:val="20"/>
        </w:rPr>
        <w:t xml:space="preserve">, Sue Doe, Christopher A. Rowland, Tracy L. Richards, Sara Jane </w:t>
      </w:r>
    </w:p>
    <w:p w:rsidR="00DF04E1" w:rsidRPr="00A92228" w:rsidRDefault="00DF04E1" w:rsidP="001112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bCs/>
          <w:sz w:val="20"/>
          <w:szCs w:val="20"/>
        </w:rPr>
        <w:tab/>
      </w:r>
      <w:proofErr w:type="gramStart"/>
      <w:r w:rsidRPr="00A92228">
        <w:rPr>
          <w:rFonts w:ascii="Times New Roman" w:hAnsi="Times New Roman" w:cs="Times New Roman"/>
          <w:bCs/>
          <w:sz w:val="20"/>
          <w:szCs w:val="20"/>
        </w:rPr>
        <w:t>Tompkins,</w:t>
      </w:r>
      <w:proofErr w:type="gramEnd"/>
      <w:r w:rsidRPr="00A92228">
        <w:rPr>
          <w:rFonts w:ascii="Times New Roman" w:hAnsi="Times New Roman" w:cs="Times New Roman"/>
          <w:bCs/>
          <w:sz w:val="20"/>
          <w:szCs w:val="20"/>
        </w:rPr>
        <w:t xml:space="preserve"> and Mark </w:t>
      </w:r>
      <w:proofErr w:type="spellStart"/>
      <w:r w:rsidRPr="00A92228">
        <w:rPr>
          <w:rFonts w:ascii="Times New Roman" w:hAnsi="Times New Roman" w:cs="Times New Roman"/>
          <w:bCs/>
          <w:sz w:val="20"/>
          <w:szCs w:val="20"/>
        </w:rPr>
        <w:t>A.McDaniel</w:t>
      </w:r>
      <w:proofErr w:type="spellEnd"/>
      <w:r w:rsidRPr="00A92228">
        <w:rPr>
          <w:rFonts w:ascii="Times New Roman" w:hAnsi="Times New Roman" w:cs="Times New Roman"/>
          <w:bCs/>
          <w:sz w:val="20"/>
          <w:szCs w:val="20"/>
        </w:rPr>
        <w:t xml:space="preserve">. 2014. </w:t>
      </w:r>
      <w:r w:rsidRPr="00A92228">
        <w:rPr>
          <w:rFonts w:ascii="Times New Roman" w:hAnsi="Times New Roman" w:cs="Times New Roman"/>
          <w:b/>
          <w:bCs/>
          <w:sz w:val="20"/>
          <w:szCs w:val="20"/>
        </w:rPr>
        <w:t>“</w:t>
      </w:r>
      <w:r w:rsidRPr="00A92228">
        <w:rPr>
          <w:rFonts w:ascii="Times New Roman" w:hAnsi="Times New Roman" w:cs="Times New Roman"/>
          <w:sz w:val="20"/>
          <w:szCs w:val="20"/>
        </w:rPr>
        <w:t xml:space="preserve">Active Processing via Write-to-Learn Assignments: </w:t>
      </w:r>
    </w:p>
    <w:p w:rsidR="00DF04E1" w:rsidRPr="00A92228" w:rsidRDefault="00DF04E1" w:rsidP="001112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r>
      <w:proofErr w:type="gramStart"/>
      <w:r w:rsidRPr="00A92228">
        <w:rPr>
          <w:rFonts w:ascii="Times New Roman" w:hAnsi="Times New Roman" w:cs="Times New Roman"/>
          <w:sz w:val="20"/>
          <w:szCs w:val="20"/>
        </w:rPr>
        <w:t xml:space="preserve">Learning and Retention </w:t>
      </w:r>
      <w:r w:rsidRPr="00A92228">
        <w:rPr>
          <w:rFonts w:ascii="Times New Roman" w:hAnsi="Times New Roman" w:cs="Times New Roman"/>
          <w:sz w:val="20"/>
          <w:szCs w:val="20"/>
        </w:rPr>
        <w:tab/>
        <w:t>in Introductory Psychology.”</w:t>
      </w:r>
      <w:proofErr w:type="gramEnd"/>
      <w:r w:rsidRPr="00A92228">
        <w:rPr>
          <w:rFonts w:ascii="Times New Roman" w:hAnsi="Times New Roman" w:cs="Times New Roman"/>
          <w:sz w:val="20"/>
          <w:szCs w:val="20"/>
        </w:rPr>
        <w:t xml:space="preserve"> </w:t>
      </w:r>
      <w:proofErr w:type="gramStart"/>
      <w:r w:rsidRPr="00A92228">
        <w:rPr>
          <w:rFonts w:ascii="Times New Roman" w:hAnsi="Times New Roman" w:cs="Times New Roman"/>
          <w:i/>
          <w:sz w:val="20"/>
          <w:szCs w:val="20"/>
        </w:rPr>
        <w:t>Teaching of Psychology,</w:t>
      </w:r>
      <w:r w:rsidRPr="00A92228">
        <w:rPr>
          <w:rFonts w:ascii="Times New Roman" w:hAnsi="Times New Roman" w:cs="Times New Roman"/>
          <w:sz w:val="20"/>
          <w:szCs w:val="20"/>
        </w:rPr>
        <w:t xml:space="preserve"> </w:t>
      </w:r>
      <w:r w:rsidRPr="00A92228">
        <w:rPr>
          <w:rFonts w:ascii="Times New Roman" w:hAnsi="Times New Roman" w:cs="Times New Roman"/>
          <w:i/>
          <w:sz w:val="20"/>
          <w:szCs w:val="20"/>
        </w:rPr>
        <w:t>41.</w:t>
      </w:r>
      <w:proofErr w:type="gramEnd"/>
      <w:r w:rsidRPr="00A92228">
        <w:rPr>
          <w:rFonts w:ascii="Times New Roman" w:hAnsi="Times New Roman" w:cs="Times New Roman"/>
          <w:i/>
          <w:sz w:val="20"/>
          <w:szCs w:val="20"/>
        </w:rPr>
        <w:t xml:space="preserve"> 4 </w:t>
      </w:r>
      <w:r w:rsidRPr="00A92228">
        <w:rPr>
          <w:rFonts w:ascii="Times New Roman" w:hAnsi="Times New Roman" w:cs="Times New Roman"/>
          <w:sz w:val="20"/>
          <w:szCs w:val="20"/>
        </w:rPr>
        <w:t xml:space="preserve">(October </w:t>
      </w:r>
    </w:p>
    <w:p w:rsidR="00DF04E1" w:rsidRPr="00A92228" w:rsidRDefault="00DF04E1" w:rsidP="001112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t xml:space="preserve">2014). 303-308. </w:t>
      </w:r>
    </w:p>
  </w:footnote>
  <w:footnote w:id="2">
    <w:p w:rsidR="00DF04E1" w:rsidRPr="00A92228" w:rsidRDefault="00DF04E1" w:rsidP="001112F1">
      <w:pPr>
        <w:spacing w:after="0" w:line="240" w:lineRule="auto"/>
        <w:rPr>
          <w:rFonts w:ascii="Times New Roman" w:hAnsi="Times New Roman" w:cs="Times New Roman"/>
          <w:sz w:val="20"/>
          <w:szCs w:val="20"/>
        </w:rPr>
      </w:pPr>
      <w:r w:rsidRPr="00A92228">
        <w:rPr>
          <w:rStyle w:val="FootnoteReference"/>
          <w:rFonts w:ascii="Times New Roman" w:hAnsi="Times New Roman" w:cs="Times New Roman"/>
          <w:sz w:val="20"/>
          <w:szCs w:val="20"/>
        </w:rPr>
        <w:footnoteRef/>
      </w:r>
      <w:r w:rsidRPr="00A92228">
        <w:rPr>
          <w:rFonts w:ascii="Times New Roman" w:hAnsi="Times New Roman" w:cs="Times New Roman"/>
          <w:sz w:val="20"/>
          <w:szCs w:val="20"/>
        </w:rPr>
        <w:t xml:space="preserve"> </w:t>
      </w:r>
      <w:proofErr w:type="spellStart"/>
      <w:proofErr w:type="gramStart"/>
      <w:r w:rsidRPr="00A92228">
        <w:rPr>
          <w:rFonts w:ascii="Times New Roman" w:hAnsi="Times New Roman" w:cs="Times New Roman"/>
          <w:bCs/>
          <w:sz w:val="20"/>
          <w:szCs w:val="20"/>
        </w:rPr>
        <w:t>Cavdar</w:t>
      </w:r>
      <w:proofErr w:type="spellEnd"/>
      <w:r w:rsidRPr="00A92228">
        <w:rPr>
          <w:rFonts w:ascii="Times New Roman" w:hAnsi="Times New Roman" w:cs="Times New Roman"/>
          <w:bCs/>
          <w:sz w:val="20"/>
          <w:szCs w:val="20"/>
        </w:rPr>
        <w:t xml:space="preserve">, </w:t>
      </w:r>
      <w:proofErr w:type="spellStart"/>
      <w:r w:rsidRPr="00A92228">
        <w:rPr>
          <w:rFonts w:ascii="Times New Roman" w:hAnsi="Times New Roman" w:cs="Times New Roman"/>
          <w:bCs/>
          <w:sz w:val="20"/>
          <w:szCs w:val="20"/>
        </w:rPr>
        <w:t>Gamze</w:t>
      </w:r>
      <w:proofErr w:type="spellEnd"/>
      <w:r w:rsidRPr="00A92228">
        <w:rPr>
          <w:rFonts w:ascii="Times New Roman" w:hAnsi="Times New Roman" w:cs="Times New Roman"/>
          <w:bCs/>
          <w:sz w:val="20"/>
          <w:szCs w:val="20"/>
        </w:rPr>
        <w:t xml:space="preserve"> and Sue Doe.</w:t>
      </w:r>
      <w:proofErr w:type="gramEnd"/>
      <w:r w:rsidRPr="00A92228">
        <w:rPr>
          <w:rFonts w:ascii="Times New Roman" w:hAnsi="Times New Roman" w:cs="Times New Roman"/>
          <w:bCs/>
          <w:sz w:val="20"/>
          <w:szCs w:val="20"/>
        </w:rPr>
        <w:t xml:space="preserve"> 2012. “</w:t>
      </w:r>
      <w:r w:rsidRPr="00A92228">
        <w:rPr>
          <w:rFonts w:ascii="Times New Roman" w:hAnsi="Times New Roman" w:cs="Times New Roman"/>
          <w:sz w:val="20"/>
          <w:szCs w:val="20"/>
        </w:rPr>
        <w:t xml:space="preserve">Learning through Writing: Teaching Critical Thinking </w:t>
      </w:r>
    </w:p>
    <w:p w:rsidR="00DF04E1" w:rsidRPr="00A92228" w:rsidRDefault="00DF04E1" w:rsidP="00A92228">
      <w:pPr>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r>
      <w:proofErr w:type="gramStart"/>
      <w:r w:rsidRPr="00A92228">
        <w:rPr>
          <w:rFonts w:ascii="Times New Roman" w:hAnsi="Times New Roman" w:cs="Times New Roman"/>
          <w:sz w:val="20"/>
          <w:szCs w:val="20"/>
        </w:rPr>
        <w:t>Skills in Writing Assignments.”</w:t>
      </w:r>
      <w:proofErr w:type="gramEnd"/>
      <w:r w:rsidRPr="00A92228">
        <w:rPr>
          <w:rFonts w:ascii="Times New Roman" w:hAnsi="Times New Roman" w:cs="Times New Roman"/>
          <w:sz w:val="20"/>
          <w:szCs w:val="20"/>
        </w:rPr>
        <w:t xml:space="preserve"> </w:t>
      </w:r>
      <w:r w:rsidRPr="00A92228">
        <w:rPr>
          <w:rFonts w:ascii="Times New Roman" w:hAnsi="Times New Roman" w:cs="Times New Roman"/>
          <w:i/>
          <w:sz w:val="20"/>
          <w:szCs w:val="20"/>
        </w:rPr>
        <w:t xml:space="preserve">PS: Political Science and Politics </w:t>
      </w:r>
      <w:r w:rsidRPr="00A92228">
        <w:rPr>
          <w:rFonts w:ascii="Times New Roman" w:hAnsi="Times New Roman" w:cs="Times New Roman"/>
          <w:sz w:val="20"/>
          <w:szCs w:val="20"/>
        </w:rPr>
        <w:t>45</w:t>
      </w:r>
      <w:r w:rsidRPr="00A92228">
        <w:rPr>
          <w:rFonts w:ascii="Times New Roman" w:hAnsi="Times New Roman" w:cs="Times New Roman"/>
          <w:i/>
          <w:sz w:val="20"/>
          <w:szCs w:val="20"/>
        </w:rPr>
        <w:t>.</w:t>
      </w:r>
      <w:r w:rsidRPr="00A92228">
        <w:rPr>
          <w:rFonts w:ascii="Times New Roman" w:hAnsi="Times New Roman" w:cs="Times New Roman"/>
          <w:sz w:val="20"/>
          <w:szCs w:val="20"/>
        </w:rPr>
        <w:t>2. 1-9.</w:t>
      </w:r>
      <w:r w:rsidRPr="00A92228">
        <w:rPr>
          <w:rFonts w:ascii="Times New Roman" w:hAnsi="Times New Roman" w:cs="Times New Roman"/>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1" w:rsidRPr="0023368E" w:rsidRDefault="00DF04E1"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0B57547A" wp14:editId="305091B5">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DF04E1" w:rsidRDefault="00DF04E1" w:rsidP="000F6E94">
    <w:pPr>
      <w:pStyle w:val="Header"/>
      <w:ind w:left="-720"/>
    </w:pPr>
  </w:p>
  <w:p w:rsidR="00DF04E1" w:rsidRDefault="00DF04E1" w:rsidP="000F6E94">
    <w:pPr>
      <w:pStyle w:val="Header"/>
      <w:ind w:left="-720"/>
    </w:pPr>
  </w:p>
  <w:p w:rsidR="00DF04E1" w:rsidRDefault="00DF04E1" w:rsidP="000F6E94">
    <w:pPr>
      <w:pStyle w:val="Header"/>
      <w:ind w:left="-720"/>
    </w:pPr>
  </w:p>
  <w:p w:rsidR="00DF04E1" w:rsidRDefault="00DF04E1"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F97BDF"/>
    <w:multiLevelType w:val="hybridMultilevel"/>
    <w:tmpl w:val="EC728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7">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046F57"/>
    <w:multiLevelType w:val="hybridMultilevel"/>
    <w:tmpl w:val="43B62C26"/>
    <w:lvl w:ilvl="0" w:tplc="D30AE29E">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3">
    <w:nsid w:val="3DCC0D10"/>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4">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081E43"/>
    <w:multiLevelType w:val="hybridMultilevel"/>
    <w:tmpl w:val="42B8F350"/>
    <w:lvl w:ilvl="0" w:tplc="0B52A236">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30C65"/>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2">
    <w:nsid w:val="5CEC1F09"/>
    <w:multiLevelType w:val="hybridMultilevel"/>
    <w:tmpl w:val="97D43E88"/>
    <w:lvl w:ilvl="0" w:tplc="5D749A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403139"/>
    <w:multiLevelType w:val="multilevel"/>
    <w:tmpl w:val="A00A0D9A"/>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CB7354"/>
    <w:multiLevelType w:val="hybridMultilevel"/>
    <w:tmpl w:val="735AB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9"/>
  </w:num>
  <w:num w:numId="3">
    <w:abstractNumId w:val="15"/>
  </w:num>
  <w:num w:numId="4">
    <w:abstractNumId w:val="2"/>
  </w:num>
  <w:num w:numId="5">
    <w:abstractNumId w:val="10"/>
  </w:num>
  <w:num w:numId="6">
    <w:abstractNumId w:val="17"/>
  </w:num>
  <w:num w:numId="7">
    <w:abstractNumId w:val="26"/>
  </w:num>
  <w:num w:numId="8">
    <w:abstractNumId w:val="8"/>
  </w:num>
  <w:num w:numId="9">
    <w:abstractNumId w:val="7"/>
  </w:num>
  <w:num w:numId="10">
    <w:abstractNumId w:val="5"/>
  </w:num>
  <w:num w:numId="11">
    <w:abstractNumId w:val="4"/>
  </w:num>
  <w:num w:numId="12">
    <w:abstractNumId w:val="16"/>
  </w:num>
  <w:num w:numId="13">
    <w:abstractNumId w:val="23"/>
  </w:num>
  <w:num w:numId="14">
    <w:abstractNumId w:val="0"/>
  </w:num>
  <w:num w:numId="15">
    <w:abstractNumId w:val="6"/>
  </w:num>
  <w:num w:numId="16">
    <w:abstractNumId w:val="28"/>
  </w:num>
  <w:num w:numId="17">
    <w:abstractNumId w:val="25"/>
  </w:num>
  <w:num w:numId="18">
    <w:abstractNumId w:val="1"/>
  </w:num>
  <w:num w:numId="19">
    <w:abstractNumId w:val="24"/>
  </w:num>
  <w:num w:numId="20">
    <w:abstractNumId w:val="9"/>
  </w:num>
  <w:num w:numId="21">
    <w:abstractNumId w:val="12"/>
  </w:num>
  <w:num w:numId="22">
    <w:abstractNumId w:val="14"/>
  </w:num>
  <w:num w:numId="23">
    <w:abstractNumId w:val="3"/>
  </w:num>
  <w:num w:numId="24">
    <w:abstractNumId w:val="27"/>
  </w:num>
  <w:num w:numId="25">
    <w:abstractNumId w:val="22"/>
  </w:num>
  <w:num w:numId="26">
    <w:abstractNumId w:val="21"/>
  </w:num>
  <w:num w:numId="27">
    <w:abstractNumId w:val="13"/>
  </w:num>
  <w:num w:numId="28">
    <w:abstractNumId w:val="20"/>
  </w:num>
  <w:num w:numId="29">
    <w:abstractNumId w:val="29"/>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ck, Kim">
    <w15:presenceInfo w15:providerId="AD" w15:userId="S-1-5-21-1757981266-616249376-1644491937-1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73565"/>
    <w:rsid w:val="000C2FBB"/>
    <w:rsid w:val="000E35ED"/>
    <w:rsid w:val="000F6E94"/>
    <w:rsid w:val="000F73B3"/>
    <w:rsid w:val="001112F1"/>
    <w:rsid w:val="001261D5"/>
    <w:rsid w:val="001819E3"/>
    <w:rsid w:val="001A5741"/>
    <w:rsid w:val="0023368E"/>
    <w:rsid w:val="00236A34"/>
    <w:rsid w:val="00242787"/>
    <w:rsid w:val="00251CB4"/>
    <w:rsid w:val="00255060"/>
    <w:rsid w:val="00285695"/>
    <w:rsid w:val="00292DB1"/>
    <w:rsid w:val="002E4911"/>
    <w:rsid w:val="00326F0A"/>
    <w:rsid w:val="0034087D"/>
    <w:rsid w:val="00350F59"/>
    <w:rsid w:val="003B142E"/>
    <w:rsid w:val="003C34BC"/>
    <w:rsid w:val="003E2F20"/>
    <w:rsid w:val="00402321"/>
    <w:rsid w:val="004056C9"/>
    <w:rsid w:val="00426BB5"/>
    <w:rsid w:val="0049113D"/>
    <w:rsid w:val="004A6FED"/>
    <w:rsid w:val="004C6A8F"/>
    <w:rsid w:val="004D23F3"/>
    <w:rsid w:val="00505D7F"/>
    <w:rsid w:val="005171FB"/>
    <w:rsid w:val="00527AE0"/>
    <w:rsid w:val="0057170D"/>
    <w:rsid w:val="0057470A"/>
    <w:rsid w:val="005822DC"/>
    <w:rsid w:val="005B6A8E"/>
    <w:rsid w:val="005D6CD2"/>
    <w:rsid w:val="005E0246"/>
    <w:rsid w:val="00601353"/>
    <w:rsid w:val="00633974"/>
    <w:rsid w:val="006363D0"/>
    <w:rsid w:val="00643C4E"/>
    <w:rsid w:val="00662BFD"/>
    <w:rsid w:val="00677463"/>
    <w:rsid w:val="0068429E"/>
    <w:rsid w:val="00692444"/>
    <w:rsid w:val="00697093"/>
    <w:rsid w:val="006A29F9"/>
    <w:rsid w:val="006B3901"/>
    <w:rsid w:val="006C169E"/>
    <w:rsid w:val="006C3E4E"/>
    <w:rsid w:val="007048EB"/>
    <w:rsid w:val="00720E00"/>
    <w:rsid w:val="00774AFA"/>
    <w:rsid w:val="007939E0"/>
    <w:rsid w:val="007A0D31"/>
    <w:rsid w:val="007B3425"/>
    <w:rsid w:val="007C14C8"/>
    <w:rsid w:val="007E33BA"/>
    <w:rsid w:val="00803471"/>
    <w:rsid w:val="00873BBC"/>
    <w:rsid w:val="00891E24"/>
    <w:rsid w:val="008B6660"/>
    <w:rsid w:val="008C1687"/>
    <w:rsid w:val="0092150D"/>
    <w:rsid w:val="0092416E"/>
    <w:rsid w:val="009460A1"/>
    <w:rsid w:val="0095489B"/>
    <w:rsid w:val="00971E26"/>
    <w:rsid w:val="009C0FE6"/>
    <w:rsid w:val="009F1C39"/>
    <w:rsid w:val="00A01688"/>
    <w:rsid w:val="00A1254C"/>
    <w:rsid w:val="00A17536"/>
    <w:rsid w:val="00A21FFD"/>
    <w:rsid w:val="00A419D8"/>
    <w:rsid w:val="00A640A3"/>
    <w:rsid w:val="00A67AD8"/>
    <w:rsid w:val="00A92228"/>
    <w:rsid w:val="00AC0E0E"/>
    <w:rsid w:val="00AD61FF"/>
    <w:rsid w:val="00AD703F"/>
    <w:rsid w:val="00AF12D7"/>
    <w:rsid w:val="00B4665D"/>
    <w:rsid w:val="00B577A5"/>
    <w:rsid w:val="00B834DE"/>
    <w:rsid w:val="00BD04AF"/>
    <w:rsid w:val="00BE4CFE"/>
    <w:rsid w:val="00C017F5"/>
    <w:rsid w:val="00C0404A"/>
    <w:rsid w:val="00C11699"/>
    <w:rsid w:val="00C414E5"/>
    <w:rsid w:val="00C540A5"/>
    <w:rsid w:val="00C610A8"/>
    <w:rsid w:val="00C726B2"/>
    <w:rsid w:val="00C77997"/>
    <w:rsid w:val="00C77E45"/>
    <w:rsid w:val="00C86F49"/>
    <w:rsid w:val="00C96A91"/>
    <w:rsid w:val="00CE7149"/>
    <w:rsid w:val="00D51173"/>
    <w:rsid w:val="00D56D82"/>
    <w:rsid w:val="00D962A2"/>
    <w:rsid w:val="00DA11F8"/>
    <w:rsid w:val="00DC7D18"/>
    <w:rsid w:val="00DD0FEC"/>
    <w:rsid w:val="00DD12CB"/>
    <w:rsid w:val="00DF04E1"/>
    <w:rsid w:val="00E04E5A"/>
    <w:rsid w:val="00E14CAA"/>
    <w:rsid w:val="00E60A8E"/>
    <w:rsid w:val="00E64085"/>
    <w:rsid w:val="00EA585C"/>
    <w:rsid w:val="00EB6A94"/>
    <w:rsid w:val="00EC75F2"/>
    <w:rsid w:val="00F0222F"/>
    <w:rsid w:val="00FA2348"/>
    <w:rsid w:val="00FB1BA2"/>
    <w:rsid w:val="00FF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styleId="FootnoteText">
    <w:name w:val="footnote text"/>
    <w:basedOn w:val="Normal"/>
    <w:link w:val="FootnoteTextChar"/>
    <w:uiPriority w:val="99"/>
    <w:semiHidden/>
    <w:unhideWhenUsed/>
    <w:rsid w:val="001112F1"/>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1112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112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styleId="FootnoteText">
    <w:name w:val="footnote text"/>
    <w:basedOn w:val="Normal"/>
    <w:link w:val="FootnoteTextChar"/>
    <w:uiPriority w:val="99"/>
    <w:semiHidden/>
    <w:unhideWhenUsed/>
    <w:rsid w:val="001112F1"/>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1112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11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colorado.gov/Academics/Transfers/gtPathways/curriculu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ghered.colorado.gov/Academics/Transfers/gtPathways/Criteria/competency.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2016-09-22T15:22:00Z</cp:lastPrinted>
  <dcterms:created xsi:type="dcterms:W3CDTF">2017-02-21T22:58:00Z</dcterms:created>
  <dcterms:modified xsi:type="dcterms:W3CDTF">2017-02-27T15:07:00Z</dcterms:modified>
</cp:coreProperties>
</file>